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80556885"/>
        <w:docPartObj>
          <w:docPartGallery w:val="Cover Pages"/>
          <w:docPartUnique/>
        </w:docPartObj>
      </w:sdtPr>
      <w:sdtEndPr>
        <w:rPr>
          <w:rFonts w:ascii="Arial" w:hAnsi="Arial" w:cs="Arial"/>
          <w:sz w:val="24"/>
          <w:szCs w:val="24"/>
        </w:rPr>
      </w:sdtEndPr>
      <w:sdtContent>
        <w:p w14:paraId="0AA7B9DB" w14:textId="77777777" w:rsidR="000F2D2F" w:rsidRDefault="000F2D2F"/>
        <w:tbl>
          <w:tblPr>
            <w:tblpPr w:leftFromText="187" w:rightFromText="187" w:vertAnchor="page" w:horzAnchor="margin" w:tblpXSpec="center" w:tblpY="4189"/>
            <w:tblW w:w="4000" w:type="pct"/>
            <w:tblBorders>
              <w:left w:val="single" w:sz="18" w:space="0" w:color="4F81BD" w:themeColor="accent1"/>
            </w:tblBorders>
            <w:tblLook w:val="04A0" w:firstRow="1" w:lastRow="0" w:firstColumn="1" w:lastColumn="0" w:noHBand="0" w:noVBand="1"/>
          </w:tblPr>
          <w:tblGrid>
            <w:gridCol w:w="7405"/>
          </w:tblGrid>
          <w:tr w:rsidR="006C2EF1" w:rsidRPr="00E911DC" w14:paraId="757812FB" w14:textId="77777777" w:rsidTr="008B2846">
            <w:tc>
              <w:tcPr>
                <w:tcW w:w="7405" w:type="dxa"/>
                <w:tcMar>
                  <w:top w:w="216" w:type="dxa"/>
                  <w:left w:w="115" w:type="dxa"/>
                  <w:bottom w:w="216" w:type="dxa"/>
                  <w:right w:w="115" w:type="dxa"/>
                </w:tcMar>
              </w:tcPr>
              <w:p w14:paraId="5F91BFCD" w14:textId="77777777" w:rsidR="006C2EF1" w:rsidRPr="00E911DC" w:rsidRDefault="006C2EF1" w:rsidP="008B2846">
                <w:pPr>
                  <w:pStyle w:val="NoSpacing"/>
                  <w:rPr>
                    <w:rFonts w:ascii="Arial" w:eastAsiaTheme="majorEastAsia" w:hAnsi="Arial" w:cs="Arial"/>
                  </w:rPr>
                </w:pPr>
              </w:p>
            </w:tc>
          </w:tr>
          <w:tr w:rsidR="006C2EF1" w:rsidRPr="00E911DC" w14:paraId="4CBC058A" w14:textId="77777777" w:rsidTr="008B2846">
            <w:tc>
              <w:tcPr>
                <w:tcW w:w="7405" w:type="dxa"/>
              </w:tcPr>
              <w:sdt>
                <w:sdtPr>
                  <w:rPr>
                    <w:rFonts w:ascii="Arial" w:eastAsiaTheme="majorEastAsia" w:hAnsi="Arial" w:cs="Arial"/>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A7D1C86" w14:textId="77777777" w:rsidR="006C2EF1" w:rsidRPr="00E911DC" w:rsidRDefault="006C2EF1" w:rsidP="008B2846">
                    <w:pPr>
                      <w:pStyle w:val="NoSpacing"/>
                      <w:rPr>
                        <w:rFonts w:ascii="Arial" w:eastAsiaTheme="majorEastAsia" w:hAnsi="Arial" w:cs="Arial"/>
                        <w:color w:val="4F81BD" w:themeColor="accent1"/>
                        <w:sz w:val="80"/>
                        <w:szCs w:val="80"/>
                      </w:rPr>
                    </w:pPr>
                    <w:r w:rsidRPr="00E911DC">
                      <w:rPr>
                        <w:rFonts w:ascii="Arial" w:eastAsiaTheme="majorEastAsia" w:hAnsi="Arial" w:cs="Arial"/>
                        <w:color w:val="4F81BD" w:themeColor="accent1"/>
                        <w:sz w:val="80"/>
                        <w:szCs w:val="80"/>
                        <w:lang w:val="en-GB"/>
                      </w:rPr>
                      <w:t>Code of Conduct &amp; Whistleblowing Policy</w:t>
                    </w:r>
                  </w:p>
                </w:sdtContent>
              </w:sdt>
            </w:tc>
          </w:tr>
          <w:tr w:rsidR="006C2EF1" w:rsidRPr="00E911DC" w14:paraId="3A50BEEA" w14:textId="77777777" w:rsidTr="008B2846">
            <w:tc>
              <w:tcPr>
                <w:tcW w:w="7405" w:type="dxa"/>
                <w:tcMar>
                  <w:top w:w="216" w:type="dxa"/>
                  <w:left w:w="115" w:type="dxa"/>
                  <w:bottom w:w="216" w:type="dxa"/>
                  <w:right w:w="115" w:type="dxa"/>
                </w:tcMar>
              </w:tcPr>
              <w:p w14:paraId="642D5633" w14:textId="77777777" w:rsidR="006C2EF1" w:rsidRPr="00E911DC" w:rsidRDefault="006C2EF1" w:rsidP="008B2846">
                <w:pPr>
                  <w:pStyle w:val="NoSpacing"/>
                  <w:rPr>
                    <w:rFonts w:ascii="Arial" w:eastAsiaTheme="majorEastAsia" w:hAnsi="Arial" w:cs="Arial"/>
                  </w:rPr>
                </w:pPr>
              </w:p>
            </w:tc>
          </w:tr>
        </w:tbl>
        <w:p w14:paraId="46B8EF6C" w14:textId="77777777" w:rsidR="000F2D2F" w:rsidRPr="00E911DC" w:rsidRDefault="000F2D2F">
          <w:pPr>
            <w:rPr>
              <w:rFonts w:ascii="Arial" w:hAnsi="Arial" w:cs="Arial"/>
            </w:rPr>
          </w:pPr>
        </w:p>
        <w:p w14:paraId="3FC5E8F6" w14:textId="77777777" w:rsidR="006C2EF1" w:rsidRPr="00E911DC" w:rsidRDefault="006C2EF1">
          <w:pPr>
            <w:rPr>
              <w:rFonts w:ascii="Arial" w:hAnsi="Arial" w:cs="Arial"/>
            </w:rPr>
          </w:pPr>
        </w:p>
        <w:p w14:paraId="26870055" w14:textId="77777777" w:rsidR="006C2EF1" w:rsidRPr="00E911DC" w:rsidRDefault="006C2EF1">
          <w:pPr>
            <w:rPr>
              <w:rFonts w:ascii="Arial" w:hAnsi="Arial" w:cs="Arial"/>
            </w:rPr>
          </w:pPr>
        </w:p>
        <w:p w14:paraId="242483FD" w14:textId="77777777" w:rsidR="006C2EF1" w:rsidRPr="00E911DC" w:rsidRDefault="006C2EF1">
          <w:pPr>
            <w:rPr>
              <w:rFonts w:ascii="Arial" w:hAnsi="Arial" w:cs="Arial"/>
            </w:rPr>
          </w:pPr>
        </w:p>
        <w:p w14:paraId="27E842D9" w14:textId="77777777" w:rsidR="006C2EF1" w:rsidRPr="00E911DC" w:rsidRDefault="006C2EF1">
          <w:pPr>
            <w:rPr>
              <w:rFonts w:ascii="Arial" w:hAnsi="Arial" w:cs="Arial"/>
            </w:rPr>
          </w:pPr>
        </w:p>
        <w:p w14:paraId="145952AE" w14:textId="77777777" w:rsidR="006C2EF1" w:rsidRPr="00E911DC" w:rsidRDefault="006C2EF1">
          <w:pPr>
            <w:rPr>
              <w:rFonts w:ascii="Arial" w:hAnsi="Arial" w:cs="Arial"/>
            </w:rPr>
          </w:pPr>
        </w:p>
        <w:p w14:paraId="41C59A81" w14:textId="77777777" w:rsidR="006C2EF1" w:rsidRPr="00E911DC" w:rsidRDefault="006C2EF1">
          <w:pPr>
            <w:rPr>
              <w:rFonts w:ascii="Arial" w:hAnsi="Arial" w:cs="Arial"/>
            </w:rPr>
          </w:pPr>
        </w:p>
        <w:p w14:paraId="54C510AB" w14:textId="77777777" w:rsidR="006C2EF1" w:rsidRPr="00E911DC" w:rsidRDefault="006C2EF1">
          <w:pPr>
            <w:rPr>
              <w:rFonts w:ascii="Arial" w:hAnsi="Arial" w:cs="Arial"/>
            </w:rPr>
          </w:pPr>
        </w:p>
        <w:p w14:paraId="271D46BD" w14:textId="77777777" w:rsidR="006C2EF1" w:rsidRPr="00E911DC" w:rsidRDefault="006C2EF1">
          <w:pPr>
            <w:rPr>
              <w:rFonts w:ascii="Arial" w:hAnsi="Arial" w:cs="Arial"/>
            </w:rPr>
          </w:pPr>
        </w:p>
        <w:p w14:paraId="292F999A" w14:textId="77777777" w:rsidR="006C2EF1" w:rsidRPr="00E911DC" w:rsidRDefault="006C2EF1" w:rsidP="006C2EF1">
          <w:pPr>
            <w:jc w:val="center"/>
            <w:rPr>
              <w:rFonts w:ascii="Arial" w:hAnsi="Arial" w:cs="Arial"/>
            </w:rPr>
          </w:pPr>
        </w:p>
        <w:tbl>
          <w:tblPr>
            <w:tblStyle w:val="TableGrid"/>
            <w:tblW w:w="0" w:type="auto"/>
            <w:tblLook w:val="04A0" w:firstRow="1" w:lastRow="0" w:firstColumn="1" w:lastColumn="0" w:noHBand="0" w:noVBand="1"/>
          </w:tblPr>
          <w:tblGrid>
            <w:gridCol w:w="5211"/>
            <w:gridCol w:w="4031"/>
          </w:tblGrid>
          <w:tr w:rsidR="006C2EF1" w:rsidRPr="00E911DC" w14:paraId="6B7864AF" w14:textId="77777777" w:rsidTr="00836F0F">
            <w:tc>
              <w:tcPr>
                <w:tcW w:w="9242" w:type="dxa"/>
                <w:gridSpan w:val="2"/>
              </w:tcPr>
              <w:p w14:paraId="222473BA" w14:textId="77777777" w:rsidR="006C2EF1" w:rsidRPr="00E911DC" w:rsidRDefault="006C2EF1" w:rsidP="00836F0F">
                <w:pPr>
                  <w:jc w:val="center"/>
                  <w:rPr>
                    <w:rFonts w:ascii="Arial" w:hAnsi="Arial" w:cs="Arial"/>
                    <w:b/>
                    <w:sz w:val="28"/>
                    <w:szCs w:val="28"/>
                  </w:rPr>
                </w:pPr>
                <w:r w:rsidRPr="00E911DC">
                  <w:rPr>
                    <w:rFonts w:ascii="Arial" w:hAnsi="Arial" w:cs="Arial"/>
                    <w:b/>
                    <w:color w:val="31849B" w:themeColor="accent5" w:themeShade="BF"/>
                    <w:sz w:val="24"/>
                    <w:szCs w:val="24"/>
                  </w:rPr>
                  <w:br w:type="page"/>
                </w:r>
                <w:r w:rsidRPr="00E911DC">
                  <w:rPr>
                    <w:rFonts w:ascii="Arial" w:hAnsi="Arial" w:cs="Arial"/>
                    <w:b/>
                    <w:sz w:val="28"/>
                    <w:szCs w:val="28"/>
                  </w:rPr>
                  <w:t xml:space="preserve">Policy Title </w:t>
                </w:r>
              </w:p>
            </w:tc>
          </w:tr>
          <w:tr w:rsidR="006C2EF1" w:rsidRPr="00E911DC" w14:paraId="27D0D8C6" w14:textId="77777777" w:rsidTr="00836F0F">
            <w:tc>
              <w:tcPr>
                <w:tcW w:w="9242" w:type="dxa"/>
                <w:gridSpan w:val="2"/>
              </w:tcPr>
              <w:p w14:paraId="04BB7DAC" w14:textId="77777777" w:rsidR="006C2EF1" w:rsidRPr="00E911DC" w:rsidRDefault="006C2EF1" w:rsidP="00836F0F">
                <w:pPr>
                  <w:jc w:val="center"/>
                  <w:rPr>
                    <w:rFonts w:ascii="Arial" w:hAnsi="Arial" w:cs="Arial"/>
                    <w:b/>
                    <w:sz w:val="32"/>
                    <w:szCs w:val="32"/>
                  </w:rPr>
                </w:pPr>
                <w:r w:rsidRPr="00E911DC">
                  <w:rPr>
                    <w:rFonts w:ascii="Arial" w:hAnsi="Arial" w:cs="Arial"/>
                    <w:b/>
                    <w:sz w:val="32"/>
                    <w:szCs w:val="32"/>
                  </w:rPr>
                  <w:t>Code of Conduct &amp; Whistleblowing Policy</w:t>
                </w:r>
              </w:p>
            </w:tc>
          </w:tr>
          <w:tr w:rsidR="004F33A6" w:rsidRPr="00E911DC" w14:paraId="26C93ED5" w14:textId="77777777" w:rsidTr="00836F0F">
            <w:tc>
              <w:tcPr>
                <w:tcW w:w="5211" w:type="dxa"/>
              </w:tcPr>
              <w:p w14:paraId="1218DAA1" w14:textId="77777777" w:rsidR="006C2EF1" w:rsidRPr="00E911DC" w:rsidRDefault="006C2EF1" w:rsidP="00836F0F">
                <w:pPr>
                  <w:rPr>
                    <w:rFonts w:ascii="Arial" w:hAnsi="Arial" w:cs="Arial"/>
                    <w:sz w:val="28"/>
                    <w:szCs w:val="28"/>
                  </w:rPr>
                </w:pPr>
                <w:r w:rsidRPr="00E911DC">
                  <w:rPr>
                    <w:rFonts w:ascii="Arial" w:hAnsi="Arial" w:cs="Arial"/>
                    <w:sz w:val="28"/>
                    <w:szCs w:val="28"/>
                  </w:rPr>
                  <w:t>Version Number</w:t>
                </w:r>
              </w:p>
            </w:tc>
            <w:tc>
              <w:tcPr>
                <w:tcW w:w="4031" w:type="dxa"/>
              </w:tcPr>
              <w:p w14:paraId="5E881CE4" w14:textId="16AB56B1" w:rsidR="006C2EF1" w:rsidRPr="00E911DC" w:rsidRDefault="006C2EF1" w:rsidP="00836F0F">
                <w:pPr>
                  <w:jc w:val="center"/>
                  <w:rPr>
                    <w:rFonts w:ascii="Arial" w:hAnsi="Arial" w:cs="Arial"/>
                    <w:sz w:val="28"/>
                    <w:szCs w:val="28"/>
                  </w:rPr>
                </w:pPr>
                <w:r w:rsidRPr="00E911DC">
                  <w:rPr>
                    <w:rFonts w:ascii="Arial" w:hAnsi="Arial" w:cs="Arial"/>
                    <w:sz w:val="28"/>
                    <w:szCs w:val="28"/>
                  </w:rPr>
                  <w:t>1.</w:t>
                </w:r>
                <w:r w:rsidR="009341E0">
                  <w:rPr>
                    <w:rFonts w:ascii="Arial" w:hAnsi="Arial" w:cs="Arial"/>
                    <w:sz w:val="28"/>
                    <w:szCs w:val="28"/>
                  </w:rPr>
                  <w:t>2</w:t>
                </w:r>
              </w:p>
            </w:tc>
          </w:tr>
          <w:tr w:rsidR="004F33A6" w:rsidRPr="00E911DC" w14:paraId="5668FD43" w14:textId="77777777" w:rsidTr="00836F0F">
            <w:tc>
              <w:tcPr>
                <w:tcW w:w="5211" w:type="dxa"/>
              </w:tcPr>
              <w:p w14:paraId="117C295A" w14:textId="77777777" w:rsidR="006C2EF1" w:rsidRPr="00E911DC" w:rsidRDefault="006C2EF1" w:rsidP="00836F0F">
                <w:pPr>
                  <w:rPr>
                    <w:rFonts w:ascii="Arial" w:hAnsi="Arial" w:cs="Arial"/>
                    <w:sz w:val="28"/>
                    <w:szCs w:val="28"/>
                  </w:rPr>
                </w:pPr>
                <w:r w:rsidRPr="00E911DC">
                  <w:rPr>
                    <w:rFonts w:ascii="Arial" w:hAnsi="Arial" w:cs="Arial"/>
                    <w:sz w:val="28"/>
                    <w:szCs w:val="28"/>
                  </w:rPr>
                  <w:t>Policy Implementation Date</w:t>
                </w:r>
              </w:p>
            </w:tc>
            <w:tc>
              <w:tcPr>
                <w:tcW w:w="4031" w:type="dxa"/>
              </w:tcPr>
              <w:p w14:paraId="634B2F78" w14:textId="3F5AE52C" w:rsidR="006C2EF1" w:rsidRPr="00E911DC" w:rsidRDefault="006C2EF1" w:rsidP="00836F0F">
                <w:pPr>
                  <w:jc w:val="center"/>
                  <w:rPr>
                    <w:rFonts w:ascii="Arial" w:hAnsi="Arial" w:cs="Arial"/>
                    <w:sz w:val="28"/>
                    <w:szCs w:val="28"/>
                  </w:rPr>
                </w:pPr>
                <w:r w:rsidRPr="00E911DC">
                  <w:rPr>
                    <w:rFonts w:ascii="Arial" w:hAnsi="Arial" w:cs="Arial"/>
                    <w:sz w:val="28"/>
                    <w:szCs w:val="28"/>
                  </w:rPr>
                  <w:t>01 APR 20</w:t>
                </w:r>
                <w:r w:rsidR="009341E0">
                  <w:rPr>
                    <w:rFonts w:ascii="Arial" w:hAnsi="Arial" w:cs="Arial"/>
                    <w:sz w:val="28"/>
                    <w:szCs w:val="28"/>
                  </w:rPr>
                  <w:t>2</w:t>
                </w:r>
                <w:r w:rsidRPr="00E911DC">
                  <w:rPr>
                    <w:rFonts w:ascii="Arial" w:hAnsi="Arial" w:cs="Arial"/>
                    <w:sz w:val="28"/>
                    <w:szCs w:val="28"/>
                  </w:rPr>
                  <w:t>1</w:t>
                </w:r>
              </w:p>
            </w:tc>
          </w:tr>
          <w:tr w:rsidR="004F33A6" w:rsidRPr="00E911DC" w14:paraId="582C9623" w14:textId="77777777" w:rsidTr="00836F0F">
            <w:tc>
              <w:tcPr>
                <w:tcW w:w="5211" w:type="dxa"/>
              </w:tcPr>
              <w:p w14:paraId="14C8D80C" w14:textId="77777777" w:rsidR="006C2EF1" w:rsidRPr="00E911DC" w:rsidRDefault="006C2EF1" w:rsidP="00836F0F">
                <w:pPr>
                  <w:rPr>
                    <w:rFonts w:ascii="Arial" w:hAnsi="Arial" w:cs="Arial"/>
                    <w:sz w:val="28"/>
                    <w:szCs w:val="28"/>
                  </w:rPr>
                </w:pPr>
                <w:r w:rsidRPr="00E911DC">
                  <w:rPr>
                    <w:rFonts w:ascii="Arial" w:hAnsi="Arial" w:cs="Arial"/>
                    <w:sz w:val="28"/>
                    <w:szCs w:val="28"/>
                  </w:rPr>
                  <w:t>Peregrinate Policy Manager</w:t>
                </w:r>
              </w:p>
            </w:tc>
            <w:tc>
              <w:tcPr>
                <w:tcW w:w="4031" w:type="dxa"/>
              </w:tcPr>
              <w:p w14:paraId="7814FCA1" w14:textId="77777777" w:rsidR="006C2EF1" w:rsidRPr="00E911DC" w:rsidRDefault="006C2EF1" w:rsidP="00836F0F">
                <w:pPr>
                  <w:jc w:val="center"/>
                  <w:rPr>
                    <w:rFonts w:ascii="Arial" w:hAnsi="Arial" w:cs="Arial"/>
                    <w:sz w:val="28"/>
                    <w:szCs w:val="28"/>
                  </w:rPr>
                </w:pPr>
                <w:r w:rsidRPr="00E911DC">
                  <w:rPr>
                    <w:rFonts w:ascii="Arial" w:hAnsi="Arial" w:cs="Arial"/>
                    <w:sz w:val="28"/>
                    <w:szCs w:val="28"/>
                  </w:rPr>
                  <w:t>Angela Mollan, Chris Mollan</w:t>
                </w:r>
              </w:p>
            </w:tc>
          </w:tr>
          <w:tr w:rsidR="004F33A6" w:rsidRPr="00E911DC" w14:paraId="13AC69CF" w14:textId="77777777" w:rsidTr="00836F0F">
            <w:tc>
              <w:tcPr>
                <w:tcW w:w="5211" w:type="dxa"/>
              </w:tcPr>
              <w:p w14:paraId="41889B0D" w14:textId="77777777" w:rsidR="006C2EF1" w:rsidRPr="00E911DC" w:rsidRDefault="006C2EF1" w:rsidP="00836F0F">
                <w:pPr>
                  <w:rPr>
                    <w:rFonts w:ascii="Arial" w:hAnsi="Arial" w:cs="Arial"/>
                    <w:sz w:val="28"/>
                    <w:szCs w:val="28"/>
                  </w:rPr>
                </w:pPr>
                <w:r w:rsidRPr="00E911DC">
                  <w:rPr>
                    <w:rFonts w:ascii="Arial" w:hAnsi="Arial" w:cs="Arial"/>
                    <w:sz w:val="28"/>
                    <w:szCs w:val="28"/>
                  </w:rPr>
                  <w:t>Approved by Senior Management</w:t>
                </w:r>
              </w:p>
            </w:tc>
            <w:tc>
              <w:tcPr>
                <w:tcW w:w="4031" w:type="dxa"/>
              </w:tcPr>
              <w:p w14:paraId="30B10F80" w14:textId="094600C2" w:rsidR="006C2EF1" w:rsidRPr="00E911DC" w:rsidRDefault="006C2EF1" w:rsidP="00836F0F">
                <w:pPr>
                  <w:jc w:val="center"/>
                  <w:rPr>
                    <w:rFonts w:ascii="Arial" w:hAnsi="Arial" w:cs="Arial"/>
                    <w:sz w:val="28"/>
                    <w:szCs w:val="28"/>
                  </w:rPr>
                </w:pPr>
                <w:r w:rsidRPr="00E911DC">
                  <w:rPr>
                    <w:rFonts w:ascii="Arial" w:hAnsi="Arial" w:cs="Arial"/>
                    <w:sz w:val="28"/>
                    <w:szCs w:val="28"/>
                  </w:rPr>
                  <w:t xml:space="preserve">01 </w:t>
                </w:r>
                <w:r w:rsidR="004F33A6">
                  <w:rPr>
                    <w:rFonts w:ascii="Arial" w:hAnsi="Arial" w:cs="Arial"/>
                    <w:sz w:val="28"/>
                    <w:szCs w:val="28"/>
                  </w:rPr>
                  <w:t>APR</w:t>
                </w:r>
                <w:r w:rsidRPr="00E911DC">
                  <w:rPr>
                    <w:rFonts w:ascii="Arial" w:hAnsi="Arial" w:cs="Arial"/>
                    <w:sz w:val="28"/>
                    <w:szCs w:val="28"/>
                  </w:rPr>
                  <w:t xml:space="preserve"> 20</w:t>
                </w:r>
                <w:r w:rsidR="009341E0">
                  <w:rPr>
                    <w:rFonts w:ascii="Arial" w:hAnsi="Arial" w:cs="Arial"/>
                    <w:sz w:val="28"/>
                    <w:szCs w:val="28"/>
                  </w:rPr>
                  <w:t>2</w:t>
                </w:r>
                <w:r w:rsidRPr="00E911DC">
                  <w:rPr>
                    <w:rFonts w:ascii="Arial" w:hAnsi="Arial" w:cs="Arial"/>
                    <w:sz w:val="28"/>
                    <w:szCs w:val="28"/>
                  </w:rPr>
                  <w:t>1</w:t>
                </w:r>
              </w:p>
            </w:tc>
          </w:tr>
          <w:tr w:rsidR="004F33A6" w:rsidRPr="00E911DC" w14:paraId="31DB4CDA" w14:textId="77777777" w:rsidTr="00836F0F">
            <w:tc>
              <w:tcPr>
                <w:tcW w:w="5211" w:type="dxa"/>
              </w:tcPr>
              <w:p w14:paraId="5863E88A" w14:textId="77777777" w:rsidR="006C2EF1" w:rsidRPr="00E911DC" w:rsidRDefault="006C2EF1" w:rsidP="00836F0F">
                <w:pPr>
                  <w:rPr>
                    <w:rFonts w:ascii="Arial" w:hAnsi="Arial" w:cs="Arial"/>
                    <w:sz w:val="28"/>
                    <w:szCs w:val="28"/>
                  </w:rPr>
                </w:pPr>
                <w:r w:rsidRPr="00E911DC">
                  <w:rPr>
                    <w:rFonts w:ascii="Arial" w:hAnsi="Arial" w:cs="Arial"/>
                    <w:sz w:val="28"/>
                    <w:szCs w:val="28"/>
                  </w:rPr>
                  <w:t>Approving Signature</w:t>
                </w:r>
              </w:p>
            </w:tc>
            <w:tc>
              <w:tcPr>
                <w:tcW w:w="4031" w:type="dxa"/>
              </w:tcPr>
              <w:p w14:paraId="0BDCD4C5" w14:textId="77777777" w:rsidR="006C2EF1" w:rsidRPr="00E911DC" w:rsidRDefault="006C2EF1" w:rsidP="00836F0F">
                <w:pPr>
                  <w:jc w:val="center"/>
                  <w:rPr>
                    <w:rFonts w:ascii="Arial" w:hAnsi="Arial" w:cs="Arial"/>
                    <w:sz w:val="28"/>
                    <w:szCs w:val="28"/>
                  </w:rPr>
                </w:pPr>
                <w:r w:rsidRPr="00E911DC">
                  <w:rPr>
                    <w:rFonts w:ascii="Arial" w:hAnsi="Arial" w:cs="Arial"/>
                    <w:sz w:val="28"/>
                    <w:szCs w:val="28"/>
                  </w:rPr>
                  <w:t>Angela Mollan</w:t>
                </w:r>
              </w:p>
            </w:tc>
          </w:tr>
          <w:tr w:rsidR="004F33A6" w:rsidRPr="00E911DC" w14:paraId="231D1F9A" w14:textId="77777777" w:rsidTr="00836F0F">
            <w:tc>
              <w:tcPr>
                <w:tcW w:w="5211" w:type="dxa"/>
              </w:tcPr>
              <w:p w14:paraId="45202561" w14:textId="77777777" w:rsidR="006C2EF1" w:rsidRPr="00E911DC" w:rsidRDefault="006C2EF1" w:rsidP="00836F0F">
                <w:pPr>
                  <w:rPr>
                    <w:rFonts w:ascii="Arial" w:hAnsi="Arial" w:cs="Arial"/>
                    <w:sz w:val="28"/>
                    <w:szCs w:val="28"/>
                  </w:rPr>
                </w:pPr>
                <w:r w:rsidRPr="00E911DC">
                  <w:rPr>
                    <w:rFonts w:ascii="Arial" w:hAnsi="Arial" w:cs="Arial"/>
                    <w:sz w:val="28"/>
                    <w:szCs w:val="28"/>
                  </w:rPr>
                  <w:t>Policy Review Date</w:t>
                </w:r>
              </w:p>
            </w:tc>
            <w:tc>
              <w:tcPr>
                <w:tcW w:w="4031" w:type="dxa"/>
              </w:tcPr>
              <w:p w14:paraId="7D46E070" w14:textId="22CB70BA" w:rsidR="006C2EF1" w:rsidRPr="00E911DC" w:rsidRDefault="006C2EF1" w:rsidP="00836F0F">
                <w:pPr>
                  <w:jc w:val="center"/>
                  <w:rPr>
                    <w:rFonts w:ascii="Arial" w:hAnsi="Arial" w:cs="Arial"/>
                    <w:sz w:val="28"/>
                    <w:szCs w:val="28"/>
                  </w:rPr>
                </w:pPr>
                <w:r w:rsidRPr="00E911DC">
                  <w:rPr>
                    <w:rFonts w:ascii="Arial" w:hAnsi="Arial" w:cs="Arial"/>
                    <w:sz w:val="28"/>
                    <w:szCs w:val="28"/>
                  </w:rPr>
                  <w:t xml:space="preserve">01 </w:t>
                </w:r>
                <w:r w:rsidR="004F33A6">
                  <w:rPr>
                    <w:rFonts w:ascii="Arial" w:hAnsi="Arial" w:cs="Arial"/>
                    <w:sz w:val="28"/>
                    <w:szCs w:val="28"/>
                  </w:rPr>
                  <w:t>MAR</w:t>
                </w:r>
                <w:r w:rsidRPr="00E911DC">
                  <w:rPr>
                    <w:rFonts w:ascii="Arial" w:hAnsi="Arial" w:cs="Arial"/>
                    <w:sz w:val="28"/>
                    <w:szCs w:val="28"/>
                  </w:rPr>
                  <w:t xml:space="preserve"> 20</w:t>
                </w:r>
                <w:r w:rsidR="004F33A6">
                  <w:rPr>
                    <w:rFonts w:ascii="Arial" w:hAnsi="Arial" w:cs="Arial"/>
                    <w:sz w:val="28"/>
                    <w:szCs w:val="28"/>
                  </w:rPr>
                  <w:t>2</w:t>
                </w:r>
                <w:r w:rsidR="009341E0">
                  <w:rPr>
                    <w:rFonts w:ascii="Arial" w:hAnsi="Arial" w:cs="Arial"/>
                    <w:sz w:val="28"/>
                    <w:szCs w:val="28"/>
                  </w:rPr>
                  <w:t>4</w:t>
                </w:r>
              </w:p>
            </w:tc>
          </w:tr>
        </w:tbl>
        <w:p w14:paraId="2F52149D" w14:textId="77777777" w:rsidR="006C2EF1" w:rsidRPr="00E911DC" w:rsidRDefault="006C2EF1" w:rsidP="006C2EF1">
          <w:pPr>
            <w:jc w:val="center"/>
            <w:rPr>
              <w:rFonts w:ascii="Arial" w:hAnsi="Arial" w:cs="Arial"/>
            </w:rPr>
          </w:pPr>
        </w:p>
        <w:p w14:paraId="7AED9151" w14:textId="77777777" w:rsidR="006C2EF1" w:rsidRPr="00E911DC" w:rsidRDefault="006C2EF1">
          <w:pPr>
            <w:rPr>
              <w:rFonts w:ascii="Arial" w:hAnsi="Arial" w:cs="Arial"/>
            </w:rPr>
          </w:pPr>
        </w:p>
        <w:p w14:paraId="06ECB8CE" w14:textId="77777777" w:rsidR="006C2EF1" w:rsidRPr="00E911DC" w:rsidRDefault="008B2846" w:rsidP="008B2846">
          <w:pPr>
            <w:tabs>
              <w:tab w:val="left" w:pos="5364"/>
            </w:tabs>
            <w:rPr>
              <w:rFonts w:ascii="Arial" w:hAnsi="Arial" w:cs="Arial"/>
            </w:rPr>
          </w:pPr>
          <w:r>
            <w:rPr>
              <w:rFonts w:ascii="Arial" w:hAnsi="Arial" w:cs="Arial"/>
            </w:rPr>
            <w:tab/>
          </w:r>
        </w:p>
        <w:p w14:paraId="427A6B5C" w14:textId="77777777" w:rsidR="006C2EF1" w:rsidRPr="00E911DC" w:rsidRDefault="006C2EF1">
          <w:pPr>
            <w:rPr>
              <w:rFonts w:ascii="Arial" w:hAnsi="Arial" w:cs="Arial"/>
            </w:rPr>
          </w:pPr>
        </w:p>
        <w:p w14:paraId="6D758EEC" w14:textId="77777777" w:rsidR="006C2EF1" w:rsidRPr="00E911DC" w:rsidRDefault="006C2EF1" w:rsidP="006C2EF1">
          <w:pPr>
            <w:jc w:val="cente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0F2D2F" w:rsidRPr="00E911DC" w14:paraId="450133A6" w14:textId="77777777" w:rsidTr="006C2EF1">
            <w:tc>
              <w:tcPr>
                <w:tcW w:w="7405"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1F8E028" w14:textId="77777777" w:rsidR="000F2D2F" w:rsidRPr="00E911DC" w:rsidRDefault="009B1B8E">
                    <w:pPr>
                      <w:pStyle w:val="NoSpacing"/>
                      <w:rPr>
                        <w:rFonts w:ascii="Arial" w:hAnsi="Arial" w:cs="Arial"/>
                        <w:color w:val="4F81BD" w:themeColor="accent1"/>
                      </w:rPr>
                    </w:pPr>
                    <w:r w:rsidRPr="00E911DC">
                      <w:rPr>
                        <w:rFonts w:ascii="Arial" w:hAnsi="Arial" w:cs="Arial"/>
                        <w:color w:val="4F81BD" w:themeColor="accent1"/>
                        <w:lang w:val="en-GB"/>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EndPr/>
                <w:sdtContent>
                  <w:p w14:paraId="53BC3213" w14:textId="77777777" w:rsidR="000F2D2F" w:rsidRPr="00E911DC" w:rsidRDefault="008B2846">
                    <w:pPr>
                      <w:pStyle w:val="NoSpacing"/>
                      <w:rPr>
                        <w:rFonts w:ascii="Arial" w:hAnsi="Arial" w:cs="Arial"/>
                        <w:color w:val="4F81BD" w:themeColor="accent1"/>
                      </w:rPr>
                    </w:pPr>
                    <w:r>
                      <w:rPr>
                        <w:rFonts w:ascii="Arial" w:hAnsi="Arial" w:cs="Arial"/>
                        <w:color w:val="4F81BD" w:themeColor="accent1"/>
                      </w:rPr>
                      <w:t>4/1/2016</w:t>
                    </w:r>
                  </w:p>
                </w:sdtContent>
              </w:sdt>
              <w:p w14:paraId="75D9F10B" w14:textId="77777777" w:rsidR="000F2D2F" w:rsidRPr="00E911DC" w:rsidRDefault="000F2D2F">
                <w:pPr>
                  <w:pStyle w:val="NoSpacing"/>
                  <w:rPr>
                    <w:rFonts w:ascii="Arial" w:hAnsi="Arial" w:cs="Arial"/>
                    <w:color w:val="4F81BD" w:themeColor="accent1"/>
                  </w:rPr>
                </w:pPr>
              </w:p>
            </w:tc>
          </w:tr>
        </w:tbl>
        <w:p w14:paraId="384C5EB4" w14:textId="77777777" w:rsidR="000F2D2F" w:rsidRPr="00E911DC" w:rsidRDefault="00DE48B2">
          <w:pPr>
            <w:rPr>
              <w:rFonts w:ascii="Arial" w:hAnsi="Arial" w:cs="Arial"/>
              <w:sz w:val="24"/>
              <w:szCs w:val="24"/>
            </w:rPr>
          </w:pPr>
        </w:p>
      </w:sdtContent>
    </w:sdt>
    <w:p w14:paraId="64D9FCC0" w14:textId="77777777" w:rsidR="00E911DC" w:rsidRDefault="003352C5" w:rsidP="003352C5">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Details of Parties</w:t>
      </w:r>
    </w:p>
    <w:p w14:paraId="19C23808" w14:textId="77777777" w:rsidR="003352C5" w:rsidRPr="00E911DC" w:rsidRDefault="003352C5" w:rsidP="00E911DC">
      <w:pPr>
        <w:rPr>
          <w:rFonts w:ascii="Arial" w:hAnsi="Arial" w:cs="Arial"/>
          <w:b/>
          <w:color w:val="31849B" w:themeColor="accent5" w:themeShade="BF"/>
          <w:sz w:val="24"/>
          <w:szCs w:val="24"/>
        </w:rPr>
      </w:pPr>
      <w:r w:rsidRPr="00E911DC">
        <w:rPr>
          <w:rFonts w:ascii="Arial" w:hAnsi="Arial" w:cs="Arial"/>
        </w:rPr>
        <w:t xml:space="preserve">This agreement is made on </w:t>
      </w:r>
      <w:r w:rsidR="00F25D03" w:rsidRPr="00E911DC">
        <w:rPr>
          <w:rFonts w:ascii="Arial" w:hAnsi="Arial" w:cs="Arial"/>
        </w:rPr>
        <w:t>…(insert date)….</w:t>
      </w:r>
      <w:r w:rsidRPr="00E911DC">
        <w:rPr>
          <w:rFonts w:ascii="Arial" w:hAnsi="Arial" w:cs="Arial"/>
        </w:rPr>
        <w:t xml:space="preserve"> and shall continue for a period of 3 years renewable thereafter or terminated in accordance with Section 3 below.</w:t>
      </w:r>
    </w:p>
    <w:p w14:paraId="4AEC3C0F" w14:textId="77777777" w:rsidR="003352C5" w:rsidRPr="00E911DC" w:rsidRDefault="003352C5" w:rsidP="003352C5">
      <w:pPr>
        <w:jc w:val="center"/>
        <w:rPr>
          <w:rFonts w:ascii="Arial" w:hAnsi="Arial" w:cs="Arial"/>
        </w:rPr>
      </w:pPr>
      <w:r w:rsidRPr="00E911DC">
        <w:rPr>
          <w:rFonts w:ascii="Arial" w:hAnsi="Arial" w:cs="Arial"/>
        </w:rPr>
        <w:t>Between</w:t>
      </w:r>
    </w:p>
    <w:p w14:paraId="63C8EB48" w14:textId="77777777" w:rsidR="000F2D2F" w:rsidRPr="00E911DC" w:rsidRDefault="00087CA7" w:rsidP="006C2EF1">
      <w:pPr>
        <w:rPr>
          <w:rFonts w:ascii="Arial" w:hAnsi="Arial" w:cs="Arial"/>
        </w:rPr>
      </w:pPr>
      <w:r w:rsidRPr="00E911DC">
        <w:rPr>
          <w:rFonts w:ascii="Arial" w:hAnsi="Arial" w:cs="Arial"/>
        </w:rPr>
        <w:t>Peregrinate Ltd</w:t>
      </w:r>
      <w:r w:rsidR="003352C5" w:rsidRPr="00E911DC">
        <w:rPr>
          <w:rFonts w:ascii="Arial" w:hAnsi="Arial" w:cs="Arial"/>
        </w:rPr>
        <w:t>, 14 Swinderby Drive, Melling, Liverpool</w:t>
      </w:r>
      <w:r w:rsidR="000F2D2F" w:rsidRPr="00E911DC">
        <w:rPr>
          <w:rFonts w:ascii="Arial" w:hAnsi="Arial" w:cs="Arial"/>
        </w:rPr>
        <w:t>, L31 1JW</w:t>
      </w:r>
    </w:p>
    <w:p w14:paraId="2DF70F36" w14:textId="77777777" w:rsidR="003352C5" w:rsidRPr="00E911DC" w:rsidRDefault="000F2D2F" w:rsidP="003352C5">
      <w:pPr>
        <w:rPr>
          <w:rFonts w:ascii="Arial" w:hAnsi="Arial" w:cs="Arial"/>
        </w:rPr>
      </w:pPr>
      <w:r w:rsidRPr="00E911DC">
        <w:rPr>
          <w:rFonts w:ascii="Arial" w:hAnsi="Arial" w:cs="Arial"/>
        </w:rPr>
        <w:t>(H</w:t>
      </w:r>
      <w:r w:rsidR="003352C5" w:rsidRPr="00E911DC">
        <w:rPr>
          <w:rFonts w:ascii="Arial" w:hAnsi="Arial" w:cs="Arial"/>
        </w:rPr>
        <w:t>ereinafter referred to as “the company”)</w:t>
      </w:r>
    </w:p>
    <w:p w14:paraId="7A0F4D3A" w14:textId="77777777" w:rsidR="00E911DC" w:rsidRDefault="003352C5" w:rsidP="00E911DC">
      <w:pPr>
        <w:jc w:val="center"/>
        <w:rPr>
          <w:rFonts w:ascii="Arial" w:hAnsi="Arial" w:cs="Arial"/>
        </w:rPr>
      </w:pPr>
      <w:r w:rsidRPr="00E911DC">
        <w:rPr>
          <w:rFonts w:ascii="Arial" w:hAnsi="Arial" w:cs="Arial"/>
        </w:rPr>
        <w:t>And</w:t>
      </w:r>
    </w:p>
    <w:p w14:paraId="38129644" w14:textId="77777777" w:rsidR="003352C5" w:rsidRPr="00E911DC" w:rsidRDefault="003352C5" w:rsidP="00E911DC">
      <w:pPr>
        <w:jc w:val="center"/>
        <w:rPr>
          <w:rFonts w:ascii="Arial" w:hAnsi="Arial" w:cs="Arial"/>
        </w:rPr>
      </w:pPr>
      <w:r w:rsidRPr="00E911DC">
        <w:rPr>
          <w:rFonts w:ascii="Arial" w:hAnsi="Arial" w:cs="Arial"/>
        </w:rPr>
        <w:t>Associate Name:</w:t>
      </w:r>
    </w:p>
    <w:p w14:paraId="3C1B93A2" w14:textId="77777777" w:rsidR="003352C5" w:rsidRPr="00E911DC" w:rsidRDefault="003352C5" w:rsidP="003352C5">
      <w:pPr>
        <w:rPr>
          <w:rFonts w:ascii="Arial" w:hAnsi="Arial" w:cs="Arial"/>
        </w:rPr>
      </w:pPr>
      <w:r w:rsidRPr="00E911DC">
        <w:rPr>
          <w:rFonts w:ascii="Arial" w:hAnsi="Arial" w:cs="Arial"/>
        </w:rPr>
        <w:t>Associate Address:</w:t>
      </w:r>
    </w:p>
    <w:p w14:paraId="08FB7B08" w14:textId="77777777" w:rsidR="003352C5" w:rsidRPr="00E911DC" w:rsidRDefault="003352C5" w:rsidP="003352C5">
      <w:pPr>
        <w:rPr>
          <w:rFonts w:ascii="Arial" w:hAnsi="Arial" w:cs="Arial"/>
        </w:rPr>
      </w:pPr>
      <w:r w:rsidRPr="00E911DC">
        <w:rPr>
          <w:rFonts w:ascii="Arial" w:hAnsi="Arial" w:cs="Arial"/>
        </w:rPr>
        <w:t>(</w:t>
      </w:r>
      <w:r w:rsidR="000F2D2F" w:rsidRPr="00E911DC">
        <w:rPr>
          <w:rFonts w:ascii="Arial" w:hAnsi="Arial" w:cs="Arial"/>
        </w:rPr>
        <w:t>Hereinafter</w:t>
      </w:r>
      <w:r w:rsidRPr="00E911DC">
        <w:rPr>
          <w:rFonts w:ascii="Arial" w:hAnsi="Arial" w:cs="Arial"/>
        </w:rPr>
        <w:t xml:space="preserve"> referred to as “the associate”)</w:t>
      </w:r>
    </w:p>
    <w:p w14:paraId="32AB98D4" w14:textId="77777777" w:rsidR="003352C5" w:rsidRPr="00E911DC" w:rsidRDefault="003352C5" w:rsidP="003352C5">
      <w:pPr>
        <w:rPr>
          <w:rFonts w:ascii="Arial" w:hAnsi="Arial" w:cs="Arial"/>
        </w:rPr>
      </w:pPr>
      <w:r w:rsidRPr="00E911DC">
        <w:rPr>
          <w:rFonts w:ascii="Arial" w:hAnsi="Arial" w:cs="Arial"/>
        </w:rPr>
        <w:t>This is not a contract of employment. Associates are engaged to provide services and are responsible for the payment of Income Tax, NI Contributions and all other taxes.</w:t>
      </w:r>
    </w:p>
    <w:p w14:paraId="7C12DC52" w14:textId="77777777" w:rsidR="00BC45A9" w:rsidRPr="00E911DC" w:rsidRDefault="00BC45A9" w:rsidP="00BC45A9">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Termination</w:t>
      </w:r>
    </w:p>
    <w:p w14:paraId="7A9B37C9" w14:textId="77777777" w:rsidR="0056112C" w:rsidRPr="00E911DC" w:rsidRDefault="001B440D" w:rsidP="00BC45A9">
      <w:pPr>
        <w:rPr>
          <w:rFonts w:ascii="Arial" w:hAnsi="Arial" w:cs="Arial"/>
        </w:rPr>
      </w:pPr>
      <w:r w:rsidRPr="00E911DC">
        <w:rPr>
          <w:rFonts w:ascii="Arial" w:hAnsi="Arial" w:cs="Arial"/>
        </w:rPr>
        <w:t xml:space="preserve">The </w:t>
      </w:r>
      <w:r w:rsidR="00BC45A9" w:rsidRPr="00E911DC">
        <w:rPr>
          <w:rFonts w:ascii="Arial" w:hAnsi="Arial" w:cs="Arial"/>
        </w:rPr>
        <w:t xml:space="preserve">contract </w:t>
      </w:r>
      <w:r w:rsidRPr="00E911DC">
        <w:rPr>
          <w:rFonts w:ascii="Arial" w:hAnsi="Arial" w:cs="Arial"/>
        </w:rPr>
        <w:t xml:space="preserve">for Associates </w:t>
      </w:r>
      <w:r w:rsidR="00BC45A9" w:rsidRPr="00E911DC">
        <w:rPr>
          <w:rFonts w:ascii="Arial" w:hAnsi="Arial" w:cs="Arial"/>
        </w:rPr>
        <w:t>can be terminated by providing four weeks prior written notice by either party.</w:t>
      </w:r>
    </w:p>
    <w:p w14:paraId="2FB81FEB" w14:textId="77777777" w:rsidR="00BC45A9" w:rsidRPr="00E911DC" w:rsidRDefault="00BC45A9" w:rsidP="00BC45A9">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Fees</w:t>
      </w:r>
    </w:p>
    <w:p w14:paraId="45AD44A0" w14:textId="77777777" w:rsidR="00BC45A9" w:rsidRPr="00E911DC" w:rsidRDefault="00BC45A9" w:rsidP="00BC45A9">
      <w:pPr>
        <w:rPr>
          <w:rFonts w:ascii="Arial" w:hAnsi="Arial" w:cs="Arial"/>
        </w:rPr>
      </w:pPr>
      <w:r w:rsidRPr="00E911DC">
        <w:rPr>
          <w:rFonts w:ascii="Arial" w:hAnsi="Arial" w:cs="Arial"/>
        </w:rPr>
        <w:t xml:space="preserve">The company will pay </w:t>
      </w:r>
      <w:r w:rsidR="001B440D" w:rsidRPr="00E911DC">
        <w:rPr>
          <w:rFonts w:ascii="Arial" w:hAnsi="Arial" w:cs="Arial"/>
        </w:rPr>
        <w:t>the agreed day rate or hourly rate, as applicable</w:t>
      </w:r>
      <w:r w:rsidRPr="00E911DC">
        <w:rPr>
          <w:rFonts w:ascii="Arial" w:hAnsi="Arial" w:cs="Arial"/>
        </w:rPr>
        <w:t xml:space="preserve"> for all UK based assignments. Any special projects (e.g. International), will be allocated and remuneration discussed and agreed with the associates outside of this fee structure, and a one off contract to cover the assignment will be signed by both parties.</w:t>
      </w:r>
    </w:p>
    <w:p w14:paraId="232E8831" w14:textId="77777777" w:rsidR="00BC45A9" w:rsidRPr="00E911DC" w:rsidRDefault="00BC45A9" w:rsidP="00BC45A9">
      <w:pPr>
        <w:rPr>
          <w:rFonts w:ascii="Arial" w:hAnsi="Arial" w:cs="Arial"/>
        </w:rPr>
      </w:pPr>
      <w:r w:rsidRPr="00E911DC">
        <w:rPr>
          <w:rFonts w:ascii="Arial" w:hAnsi="Arial" w:cs="Arial"/>
        </w:rPr>
        <w:t>These fees are exclusive of VAT, national insurance, income tax, professional indemnity and public liability insurance.</w:t>
      </w:r>
    </w:p>
    <w:p w14:paraId="4B2B8004" w14:textId="77777777" w:rsidR="00BC45A9" w:rsidRPr="00E911DC" w:rsidRDefault="00BC45A9" w:rsidP="00BC45A9">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Expenses</w:t>
      </w:r>
    </w:p>
    <w:p w14:paraId="5EDAE67A" w14:textId="77777777" w:rsidR="00BC45A9" w:rsidRPr="00E911DC" w:rsidRDefault="003C7CDD" w:rsidP="00BC45A9">
      <w:pPr>
        <w:rPr>
          <w:rFonts w:ascii="Arial" w:hAnsi="Arial" w:cs="Arial"/>
        </w:rPr>
      </w:pPr>
      <w:r w:rsidRPr="00E911DC">
        <w:rPr>
          <w:rFonts w:ascii="Arial" w:hAnsi="Arial" w:cs="Arial"/>
        </w:rPr>
        <w:t>The company will pay reasonable properly recorded expenses accrued in the course of carrying out work at cost within th</w:t>
      </w:r>
      <w:r w:rsidR="001B440D" w:rsidRPr="00E911DC">
        <w:rPr>
          <w:rFonts w:ascii="Arial" w:hAnsi="Arial" w:cs="Arial"/>
        </w:rPr>
        <w:t>e</w:t>
      </w:r>
      <w:r w:rsidRPr="00E911DC">
        <w:rPr>
          <w:rFonts w:ascii="Arial" w:hAnsi="Arial" w:cs="Arial"/>
        </w:rPr>
        <w:t xml:space="preserve"> </w:t>
      </w:r>
      <w:r w:rsidR="000F2D2F" w:rsidRPr="00E911DC">
        <w:rPr>
          <w:rFonts w:ascii="Arial" w:hAnsi="Arial" w:cs="Arial"/>
        </w:rPr>
        <w:t>contract;</w:t>
      </w:r>
      <w:r w:rsidRPr="00E911DC">
        <w:rPr>
          <w:rFonts w:ascii="Arial" w:hAnsi="Arial" w:cs="Arial"/>
        </w:rPr>
        <w:t xml:space="preserve"> provided these are agreed in advance and appropriate receipts are provided.</w:t>
      </w:r>
    </w:p>
    <w:p w14:paraId="0EC8CC09" w14:textId="77777777" w:rsidR="003C7CDD" w:rsidRPr="00E911DC" w:rsidRDefault="003C7CDD" w:rsidP="003C7CDD">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Absence</w:t>
      </w:r>
    </w:p>
    <w:p w14:paraId="48483675" w14:textId="77777777" w:rsidR="003C7CDD" w:rsidRPr="00E911DC" w:rsidRDefault="003C7CDD" w:rsidP="003C7CDD">
      <w:pPr>
        <w:rPr>
          <w:rFonts w:ascii="Arial" w:hAnsi="Arial" w:cs="Arial"/>
        </w:rPr>
      </w:pPr>
      <w:r w:rsidRPr="00E911DC">
        <w:rPr>
          <w:rFonts w:ascii="Arial" w:hAnsi="Arial" w:cs="Arial"/>
        </w:rPr>
        <w:t xml:space="preserve">In the event of illness, if you are unable to fulfil your duties, it is your responsibility to contact the company prior to the start time of the </w:t>
      </w:r>
      <w:r w:rsidR="008A35F1" w:rsidRPr="00E911DC">
        <w:rPr>
          <w:rFonts w:ascii="Arial" w:hAnsi="Arial" w:cs="Arial"/>
        </w:rPr>
        <w:t>shift</w:t>
      </w:r>
      <w:r w:rsidRPr="00E911DC">
        <w:rPr>
          <w:rFonts w:ascii="Arial" w:hAnsi="Arial" w:cs="Arial"/>
        </w:rPr>
        <w:t xml:space="preserve">. The company will endeavour to arrange another associate to deliver the </w:t>
      </w:r>
      <w:r w:rsidR="008A35F1" w:rsidRPr="00E911DC">
        <w:rPr>
          <w:rFonts w:ascii="Arial" w:hAnsi="Arial" w:cs="Arial"/>
        </w:rPr>
        <w:t>service</w:t>
      </w:r>
      <w:r w:rsidRPr="00E911DC">
        <w:rPr>
          <w:rFonts w:ascii="Arial" w:hAnsi="Arial" w:cs="Arial"/>
        </w:rPr>
        <w:t xml:space="preserve"> or postpone the </w:t>
      </w:r>
      <w:r w:rsidR="008A35F1" w:rsidRPr="00E911DC">
        <w:rPr>
          <w:rFonts w:ascii="Arial" w:hAnsi="Arial" w:cs="Arial"/>
        </w:rPr>
        <w:t>service</w:t>
      </w:r>
      <w:r w:rsidRPr="00E911DC">
        <w:rPr>
          <w:rFonts w:ascii="Arial" w:hAnsi="Arial" w:cs="Arial"/>
        </w:rPr>
        <w:t xml:space="preserve"> to be delivered at a mutually </w:t>
      </w:r>
      <w:r w:rsidRPr="00E911DC">
        <w:rPr>
          <w:rFonts w:ascii="Arial" w:hAnsi="Arial" w:cs="Arial"/>
        </w:rPr>
        <w:lastRenderedPageBreak/>
        <w:t>acceptable date. Associates will not be paid for any duties not performed in the event of illness.</w:t>
      </w:r>
    </w:p>
    <w:p w14:paraId="155E0165" w14:textId="77777777" w:rsidR="003C7CDD" w:rsidRPr="00E911DC" w:rsidRDefault="003C7CDD" w:rsidP="003C7CDD">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Training and Self Development</w:t>
      </w:r>
    </w:p>
    <w:p w14:paraId="52683FD4" w14:textId="77777777" w:rsidR="003C7CDD" w:rsidRPr="00E911DC" w:rsidRDefault="003C7CDD" w:rsidP="003C7CDD">
      <w:pPr>
        <w:rPr>
          <w:rFonts w:ascii="Arial" w:hAnsi="Arial" w:cs="Arial"/>
        </w:rPr>
      </w:pPr>
      <w:r w:rsidRPr="00E911DC">
        <w:rPr>
          <w:rFonts w:ascii="Arial" w:hAnsi="Arial" w:cs="Arial"/>
        </w:rPr>
        <w:t xml:space="preserve">It is a requirement that all associates undertake a company induction prior to completing any </w:t>
      </w:r>
      <w:r w:rsidR="008A35F1" w:rsidRPr="00E911DC">
        <w:rPr>
          <w:rFonts w:ascii="Arial" w:hAnsi="Arial" w:cs="Arial"/>
        </w:rPr>
        <w:t>duties</w:t>
      </w:r>
      <w:r w:rsidRPr="00E911DC">
        <w:rPr>
          <w:rFonts w:ascii="Arial" w:hAnsi="Arial" w:cs="Arial"/>
        </w:rPr>
        <w:t xml:space="preserve"> on behalf of the company.</w:t>
      </w:r>
    </w:p>
    <w:p w14:paraId="04659471" w14:textId="77777777" w:rsidR="008A35F1" w:rsidRPr="00E911DC" w:rsidRDefault="003C7CDD" w:rsidP="003C7CDD">
      <w:pPr>
        <w:rPr>
          <w:rFonts w:ascii="Arial" w:hAnsi="Arial" w:cs="Arial"/>
          <w:sz w:val="24"/>
          <w:szCs w:val="24"/>
        </w:rPr>
      </w:pPr>
      <w:r w:rsidRPr="00E911DC">
        <w:rPr>
          <w:rFonts w:ascii="Arial" w:hAnsi="Arial" w:cs="Arial"/>
        </w:rPr>
        <w:t>Associates will further be expected to complete an annual appraisal as part of the ongoing Quality Management System and external awarding body requirements. All associates are expected to maintain their qualifications in line with the requirements of the standards(s) being delivered and costs associated with maintaining associate qualifications and further self-development are considered within associate fees.</w:t>
      </w:r>
    </w:p>
    <w:p w14:paraId="47FC6028" w14:textId="77777777" w:rsidR="002A132C" w:rsidRPr="00E911DC" w:rsidRDefault="002A132C" w:rsidP="002A132C">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Invoicing Arrangements / Payment Terms</w:t>
      </w:r>
    </w:p>
    <w:p w14:paraId="3801C5B5" w14:textId="77777777" w:rsidR="002A132C" w:rsidRPr="00E911DC" w:rsidRDefault="002A132C" w:rsidP="002A132C">
      <w:pPr>
        <w:rPr>
          <w:rFonts w:ascii="Arial" w:hAnsi="Arial" w:cs="Arial"/>
        </w:rPr>
      </w:pPr>
      <w:r w:rsidRPr="00E911DC">
        <w:rPr>
          <w:rFonts w:ascii="Arial" w:hAnsi="Arial" w:cs="Arial"/>
        </w:rPr>
        <w:t xml:space="preserve">Payments will be made in arrears within 30 days of receipt of a </w:t>
      </w:r>
      <w:r w:rsidR="00087CA7" w:rsidRPr="00E911DC">
        <w:rPr>
          <w:rFonts w:ascii="Arial" w:hAnsi="Arial" w:cs="Arial"/>
        </w:rPr>
        <w:t>Peregrinate Ltd</w:t>
      </w:r>
      <w:r w:rsidR="00F25D03" w:rsidRPr="00E911DC">
        <w:rPr>
          <w:rFonts w:ascii="Arial" w:hAnsi="Arial" w:cs="Arial"/>
        </w:rPr>
        <w:t xml:space="preserve"> </w:t>
      </w:r>
      <w:r w:rsidRPr="00E911DC">
        <w:rPr>
          <w:rFonts w:ascii="Arial" w:hAnsi="Arial" w:cs="Arial"/>
        </w:rPr>
        <w:t xml:space="preserve">Staff Pay Claim. Pay claims will not be paid until all training documentation is returned to the company (ref clause 9). Nothing in this clause shall affect the company’s </w:t>
      </w:r>
      <w:r w:rsidR="000F2D2F" w:rsidRPr="00E911DC">
        <w:rPr>
          <w:rFonts w:ascii="Arial" w:hAnsi="Arial" w:cs="Arial"/>
        </w:rPr>
        <w:t>right to</w:t>
      </w:r>
      <w:r w:rsidRPr="00E911DC">
        <w:rPr>
          <w:rFonts w:ascii="Arial" w:hAnsi="Arial" w:cs="Arial"/>
        </w:rPr>
        <w:t xml:space="preserve"> contest liability to make payment in part or full.</w:t>
      </w:r>
    </w:p>
    <w:p w14:paraId="370A8F2A" w14:textId="77777777" w:rsidR="002A132C" w:rsidRPr="00E911DC" w:rsidRDefault="002A132C" w:rsidP="002A132C">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Intellectual Property Rights</w:t>
      </w:r>
    </w:p>
    <w:p w14:paraId="2B231301" w14:textId="77777777" w:rsidR="002A132C" w:rsidRPr="00E911DC" w:rsidRDefault="002A132C" w:rsidP="002A132C">
      <w:pPr>
        <w:rPr>
          <w:rFonts w:ascii="Arial" w:hAnsi="Arial" w:cs="Arial"/>
          <w:b/>
        </w:rPr>
      </w:pPr>
      <w:r w:rsidRPr="00E911DC">
        <w:rPr>
          <w:rFonts w:ascii="Arial" w:hAnsi="Arial" w:cs="Arial"/>
        </w:rPr>
        <w:t>The company will take ownership for any material which is made, developed, discovered, created or generated by the associate, unless a specific prior disposition is made, in writing and agreed by both parties.</w:t>
      </w:r>
      <w:r w:rsidRPr="00E911DC">
        <w:rPr>
          <w:rFonts w:ascii="Arial" w:hAnsi="Arial" w:cs="Arial"/>
          <w:b/>
        </w:rPr>
        <w:t xml:space="preserve"> </w:t>
      </w:r>
    </w:p>
    <w:p w14:paraId="7B9CD18B" w14:textId="77777777" w:rsidR="002A132C" w:rsidRPr="00E911DC" w:rsidRDefault="002A132C" w:rsidP="002A132C">
      <w:pPr>
        <w:rPr>
          <w:rFonts w:ascii="Arial" w:hAnsi="Arial" w:cs="Arial"/>
        </w:rPr>
      </w:pPr>
      <w:r w:rsidRPr="00E911DC">
        <w:rPr>
          <w:rFonts w:ascii="Arial" w:hAnsi="Arial" w:cs="Arial"/>
        </w:rPr>
        <w:t>Intellectual property includes:</w:t>
      </w:r>
    </w:p>
    <w:p w14:paraId="4A1FCCF0" w14:textId="77777777" w:rsidR="002A132C" w:rsidRPr="00E911DC" w:rsidRDefault="002A132C" w:rsidP="002A132C">
      <w:pPr>
        <w:pStyle w:val="ListParagraph"/>
        <w:numPr>
          <w:ilvl w:val="0"/>
          <w:numId w:val="2"/>
        </w:numPr>
        <w:rPr>
          <w:rFonts w:ascii="Arial" w:hAnsi="Arial" w:cs="Arial"/>
        </w:rPr>
      </w:pPr>
      <w:r w:rsidRPr="00E911DC">
        <w:rPr>
          <w:rFonts w:ascii="Arial" w:hAnsi="Arial" w:cs="Arial"/>
        </w:rPr>
        <w:t>Concept, design, process, procedure, development or improvement in process or procedure</w:t>
      </w:r>
    </w:p>
    <w:p w14:paraId="4105EE60" w14:textId="77777777" w:rsidR="002A132C" w:rsidRPr="00E911DC" w:rsidRDefault="002A132C" w:rsidP="002A132C">
      <w:pPr>
        <w:pStyle w:val="ListParagraph"/>
        <w:numPr>
          <w:ilvl w:val="0"/>
          <w:numId w:val="2"/>
        </w:numPr>
        <w:rPr>
          <w:rFonts w:ascii="Arial" w:hAnsi="Arial" w:cs="Arial"/>
        </w:rPr>
      </w:pPr>
      <w:r w:rsidRPr="00E911DC">
        <w:rPr>
          <w:rFonts w:ascii="Arial" w:hAnsi="Arial" w:cs="Arial"/>
        </w:rPr>
        <w:t>Documentation, computer programme, ideas, methods, information or know how</w:t>
      </w:r>
    </w:p>
    <w:p w14:paraId="1B96B4E4" w14:textId="77777777" w:rsidR="002A132C" w:rsidRPr="00E911DC" w:rsidRDefault="002A132C" w:rsidP="002A132C">
      <w:pPr>
        <w:pStyle w:val="ListParagraph"/>
        <w:rPr>
          <w:rFonts w:ascii="Arial" w:hAnsi="Arial" w:cs="Arial"/>
          <w:sz w:val="24"/>
          <w:szCs w:val="24"/>
        </w:rPr>
      </w:pPr>
    </w:p>
    <w:p w14:paraId="7FA64466" w14:textId="77777777" w:rsidR="002A132C" w:rsidRPr="00E911DC" w:rsidRDefault="002A132C" w:rsidP="002A132C">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Data Protection</w:t>
      </w:r>
    </w:p>
    <w:p w14:paraId="289AF863" w14:textId="77777777" w:rsidR="002A132C" w:rsidRPr="00E911DC" w:rsidRDefault="002A132C" w:rsidP="002A132C">
      <w:pPr>
        <w:rPr>
          <w:rFonts w:ascii="Arial" w:hAnsi="Arial" w:cs="Arial"/>
        </w:rPr>
      </w:pPr>
      <w:r w:rsidRPr="00E911DC">
        <w:rPr>
          <w:rFonts w:ascii="Arial" w:hAnsi="Arial" w:cs="Arial"/>
        </w:rPr>
        <w:t>Associates must at all times act in accordance with any policy or instruction introduced by the company to ensure compliance with the Data Protection Act 1998 or any other applicable data protection legislation.</w:t>
      </w:r>
    </w:p>
    <w:p w14:paraId="5C37C734" w14:textId="77777777" w:rsidR="002A132C" w:rsidRPr="00E911DC" w:rsidRDefault="002A132C" w:rsidP="002A132C">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Confidentiality</w:t>
      </w:r>
    </w:p>
    <w:p w14:paraId="62E1FC8A" w14:textId="77777777" w:rsidR="008A35F1" w:rsidRPr="00E911DC" w:rsidRDefault="002A132C" w:rsidP="002A132C">
      <w:pPr>
        <w:rPr>
          <w:rFonts w:ascii="Arial" w:hAnsi="Arial" w:cs="Arial"/>
        </w:rPr>
      </w:pPr>
      <w:r w:rsidRPr="00E911DC">
        <w:rPr>
          <w:rFonts w:ascii="Arial" w:hAnsi="Arial" w:cs="Arial"/>
        </w:rPr>
        <w:t xml:space="preserve">Under no circumstances shall an associate divulge information of a confidential nature that has come to </w:t>
      </w:r>
      <w:r w:rsidR="00726468" w:rsidRPr="00E911DC">
        <w:rPr>
          <w:rFonts w:ascii="Arial" w:hAnsi="Arial" w:cs="Arial"/>
        </w:rPr>
        <w:t>their</w:t>
      </w:r>
      <w:r w:rsidRPr="00E911DC">
        <w:rPr>
          <w:rFonts w:ascii="Arial" w:hAnsi="Arial" w:cs="Arial"/>
        </w:rPr>
        <w:t xml:space="preserve"> attention via the company. This would cover information about the company, business, finances, transactions or affairs of th</w:t>
      </w:r>
      <w:r w:rsidR="008A35F1" w:rsidRPr="00E911DC">
        <w:rPr>
          <w:rFonts w:ascii="Arial" w:hAnsi="Arial" w:cs="Arial"/>
        </w:rPr>
        <w:t>e company; delegate information.</w:t>
      </w:r>
    </w:p>
    <w:p w14:paraId="12A2347E" w14:textId="77777777" w:rsidR="00087CA7" w:rsidRPr="00E911DC" w:rsidRDefault="00087CA7" w:rsidP="002A132C">
      <w:pPr>
        <w:rPr>
          <w:rFonts w:ascii="Arial" w:hAnsi="Arial" w:cs="Arial"/>
        </w:rPr>
      </w:pPr>
    </w:p>
    <w:p w14:paraId="73C49100" w14:textId="77777777" w:rsidR="00087CA7" w:rsidRPr="00E911DC" w:rsidRDefault="00087CA7" w:rsidP="002A132C">
      <w:pPr>
        <w:rPr>
          <w:rFonts w:ascii="Arial" w:hAnsi="Arial" w:cs="Arial"/>
        </w:rPr>
      </w:pPr>
    </w:p>
    <w:p w14:paraId="56FB94ED" w14:textId="77777777" w:rsidR="000F2D2F" w:rsidRPr="00E911DC" w:rsidRDefault="000F2D2F" w:rsidP="000F2D2F">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lastRenderedPageBreak/>
        <w:t>Company Policy and Procedures</w:t>
      </w:r>
    </w:p>
    <w:p w14:paraId="0C8D1F8B" w14:textId="77777777" w:rsidR="0056112C" w:rsidRPr="00E911DC" w:rsidRDefault="000F2D2F" w:rsidP="000F2D2F">
      <w:pPr>
        <w:rPr>
          <w:rFonts w:ascii="Arial" w:hAnsi="Arial" w:cs="Arial"/>
        </w:rPr>
      </w:pPr>
      <w:r w:rsidRPr="00E911DC">
        <w:rPr>
          <w:rFonts w:ascii="Arial" w:hAnsi="Arial" w:cs="Arial"/>
        </w:rPr>
        <w:t xml:space="preserve">Associates will be expected to </w:t>
      </w:r>
      <w:r w:rsidR="00F25D03" w:rsidRPr="00E911DC">
        <w:rPr>
          <w:rFonts w:ascii="Arial" w:hAnsi="Arial" w:cs="Arial"/>
        </w:rPr>
        <w:t xml:space="preserve">keep abreast of all </w:t>
      </w:r>
      <w:r w:rsidR="00E911DC">
        <w:rPr>
          <w:rFonts w:ascii="Arial" w:hAnsi="Arial" w:cs="Arial"/>
        </w:rPr>
        <w:t>Peregrinate Ltd.</w:t>
      </w:r>
      <w:r w:rsidR="00F25D03" w:rsidRPr="00E911DC">
        <w:rPr>
          <w:rFonts w:ascii="Arial" w:hAnsi="Arial" w:cs="Arial"/>
        </w:rPr>
        <w:t xml:space="preserve"> </w:t>
      </w:r>
      <w:r w:rsidR="00E911DC">
        <w:rPr>
          <w:rFonts w:ascii="Arial" w:hAnsi="Arial" w:cs="Arial"/>
        </w:rPr>
        <w:t>p</w:t>
      </w:r>
      <w:r w:rsidR="00F25D03" w:rsidRPr="00E911DC">
        <w:rPr>
          <w:rFonts w:ascii="Arial" w:hAnsi="Arial" w:cs="Arial"/>
        </w:rPr>
        <w:t xml:space="preserve">olicies and updates and to </w:t>
      </w:r>
      <w:r w:rsidRPr="00E911DC">
        <w:rPr>
          <w:rFonts w:ascii="Arial" w:hAnsi="Arial" w:cs="Arial"/>
        </w:rPr>
        <w:t>adhere to all of the</w:t>
      </w:r>
      <w:r w:rsidR="00577F8B" w:rsidRPr="00E911DC">
        <w:rPr>
          <w:rFonts w:ascii="Arial" w:hAnsi="Arial" w:cs="Arial"/>
        </w:rPr>
        <w:t>se</w:t>
      </w:r>
      <w:r w:rsidRPr="00E911DC">
        <w:rPr>
          <w:rFonts w:ascii="Arial" w:hAnsi="Arial" w:cs="Arial"/>
        </w:rPr>
        <w:t xml:space="preserve"> policies and procedures</w:t>
      </w:r>
      <w:r w:rsidR="00577F8B" w:rsidRPr="00E911DC">
        <w:rPr>
          <w:rFonts w:ascii="Arial" w:hAnsi="Arial" w:cs="Arial"/>
        </w:rPr>
        <w:t xml:space="preserve"> at all times</w:t>
      </w:r>
      <w:r w:rsidRPr="00E911DC">
        <w:rPr>
          <w:rFonts w:ascii="Arial" w:hAnsi="Arial" w:cs="Arial"/>
        </w:rPr>
        <w:t>.</w:t>
      </w:r>
    </w:p>
    <w:p w14:paraId="1CFFCA00" w14:textId="77777777" w:rsidR="000F2D2F" w:rsidRPr="00E911DC" w:rsidRDefault="00577F8B" w:rsidP="00577F8B">
      <w:pPr>
        <w:pStyle w:val="ListParagraph"/>
        <w:numPr>
          <w:ilvl w:val="0"/>
          <w:numId w:val="1"/>
        </w:numPr>
        <w:rPr>
          <w:rFonts w:ascii="Arial" w:hAnsi="Arial" w:cs="Arial"/>
          <w:b/>
          <w:color w:val="31849B" w:themeColor="accent5" w:themeShade="BF"/>
          <w:sz w:val="24"/>
          <w:szCs w:val="24"/>
        </w:rPr>
      </w:pPr>
      <w:r w:rsidRPr="00E911DC">
        <w:rPr>
          <w:rFonts w:ascii="Arial" w:hAnsi="Arial" w:cs="Arial"/>
          <w:b/>
          <w:color w:val="31849B" w:themeColor="accent5" w:themeShade="BF"/>
          <w:sz w:val="24"/>
          <w:szCs w:val="24"/>
        </w:rPr>
        <w:t>Whistleblowing Policy</w:t>
      </w:r>
    </w:p>
    <w:p w14:paraId="1BF525D0" w14:textId="77777777" w:rsidR="00577F8B" w:rsidRPr="00E911DC" w:rsidRDefault="00087CA7" w:rsidP="00577F8B">
      <w:pPr>
        <w:jc w:val="center"/>
        <w:rPr>
          <w:rFonts w:ascii="Arial" w:hAnsi="Arial" w:cs="Arial"/>
          <w:b/>
        </w:rPr>
      </w:pPr>
      <w:r w:rsidRPr="00E911DC">
        <w:rPr>
          <w:rFonts w:ascii="Arial" w:hAnsi="Arial" w:cs="Arial"/>
          <w:b/>
        </w:rPr>
        <w:t>Peregrinate Ltd</w:t>
      </w:r>
      <w:r w:rsidR="00577F8B" w:rsidRPr="00E911DC">
        <w:rPr>
          <w:rFonts w:ascii="Arial" w:hAnsi="Arial" w:cs="Arial"/>
          <w:b/>
        </w:rPr>
        <w:t xml:space="preserve"> </w:t>
      </w:r>
      <w:r w:rsidR="00577F8B" w:rsidRPr="00E911DC">
        <w:rPr>
          <w:rFonts w:ascii="Arial" w:hAnsi="Arial" w:cs="Arial"/>
          <w:b/>
        </w:rPr>
        <w:br/>
      </w:r>
      <w:r w:rsidR="00577F8B" w:rsidRPr="00E911DC">
        <w:rPr>
          <w:rFonts w:ascii="Arial" w:hAnsi="Arial" w:cs="Arial"/>
          <w:b/>
        </w:rPr>
        <w:br/>
        <w:t xml:space="preserve">"WHISTLEBLOWING" POLICY </w:t>
      </w:r>
    </w:p>
    <w:p w14:paraId="26B85ECD" w14:textId="77777777" w:rsidR="00577F8B" w:rsidRPr="00E911DC" w:rsidRDefault="00577F8B" w:rsidP="00577F8B">
      <w:pPr>
        <w:jc w:val="center"/>
        <w:rPr>
          <w:rFonts w:ascii="Arial" w:hAnsi="Arial" w:cs="Arial"/>
          <w:b/>
        </w:rPr>
      </w:pPr>
      <w:r w:rsidRPr="00E911DC">
        <w:rPr>
          <w:rFonts w:ascii="Arial" w:hAnsi="Arial" w:cs="Arial"/>
          <w:color w:val="000000"/>
          <w:sz w:val="19"/>
          <w:szCs w:val="19"/>
          <w:lang w:val="en"/>
        </w:rPr>
        <w:t>(Making a Disclosure in the Public Interest)</w:t>
      </w:r>
    </w:p>
    <w:p w14:paraId="0A19A7D5" w14:textId="77777777" w:rsidR="00577F8B" w:rsidRPr="00E911DC" w:rsidRDefault="00577F8B" w:rsidP="00577F8B">
      <w:pPr>
        <w:jc w:val="center"/>
        <w:rPr>
          <w:rFonts w:ascii="Arial" w:hAnsi="Arial" w:cs="Arial"/>
        </w:rPr>
      </w:pPr>
    </w:p>
    <w:p w14:paraId="15484330" w14:textId="77777777" w:rsidR="00577F8B" w:rsidRPr="00E911DC" w:rsidRDefault="00577F8B" w:rsidP="00577F8B">
      <w:pPr>
        <w:rPr>
          <w:rFonts w:ascii="Arial" w:hAnsi="Arial" w:cs="Arial"/>
          <w:b/>
          <w:color w:val="31849B" w:themeColor="accent5" w:themeShade="BF"/>
        </w:rPr>
      </w:pPr>
      <w:r w:rsidRPr="00E911DC">
        <w:rPr>
          <w:rFonts w:ascii="Arial" w:hAnsi="Arial" w:cs="Arial"/>
          <w:b/>
          <w:color w:val="31849B" w:themeColor="accent5" w:themeShade="BF"/>
        </w:rPr>
        <w:t>Introduction</w:t>
      </w:r>
    </w:p>
    <w:p w14:paraId="104653BE" w14:textId="77777777" w:rsidR="00577F8B" w:rsidRPr="00E911DC" w:rsidRDefault="00577F8B" w:rsidP="00577F8B">
      <w:pPr>
        <w:rPr>
          <w:rFonts w:ascii="Arial" w:hAnsi="Arial" w:cs="Arial"/>
        </w:rPr>
      </w:pPr>
    </w:p>
    <w:p w14:paraId="7507688D" w14:textId="77777777" w:rsidR="00577F8B" w:rsidRPr="00E911DC" w:rsidRDefault="00087CA7" w:rsidP="00577F8B">
      <w:pPr>
        <w:rPr>
          <w:rFonts w:ascii="Arial" w:hAnsi="Arial" w:cs="Arial"/>
        </w:rPr>
      </w:pPr>
      <w:r w:rsidRPr="00E911DC">
        <w:rPr>
          <w:rFonts w:ascii="Arial" w:hAnsi="Arial" w:cs="Arial"/>
          <w:b/>
        </w:rPr>
        <w:t>Peregrinate Ltd</w:t>
      </w:r>
      <w:r w:rsidR="00577F8B" w:rsidRPr="00E911DC">
        <w:rPr>
          <w:rFonts w:ascii="Arial" w:hAnsi="Arial" w:cs="Arial"/>
          <w:b/>
        </w:rPr>
        <w:t xml:space="preserve"> </w:t>
      </w:r>
      <w:r w:rsidR="00577F8B" w:rsidRPr="00E911DC">
        <w:rPr>
          <w:rFonts w:ascii="Arial" w:hAnsi="Arial" w:cs="Arial"/>
        </w:rPr>
        <w:t xml:space="preserve">is committed to the highest standards of openness, probity and accountability. </w:t>
      </w:r>
      <w:r w:rsidR="00577F8B" w:rsidRPr="00E911DC">
        <w:rPr>
          <w:rFonts w:ascii="Arial" w:hAnsi="Arial" w:cs="Arial"/>
        </w:rPr>
        <w:br/>
      </w:r>
      <w:r w:rsidR="00577F8B" w:rsidRPr="00E911DC">
        <w:rPr>
          <w:rFonts w:ascii="Arial" w:hAnsi="Arial" w:cs="Arial"/>
        </w:rPr>
        <w:br/>
        <w:t xml:space="preserve">An important aspect of accountability and transparency is a mechanism to enable staff and other members of the </w:t>
      </w:r>
      <w:r w:rsidR="00E911DC">
        <w:rPr>
          <w:rFonts w:ascii="Arial" w:hAnsi="Arial" w:cs="Arial"/>
        </w:rPr>
        <w:t>c</w:t>
      </w:r>
      <w:r w:rsidR="00577F8B" w:rsidRPr="00E911DC">
        <w:rPr>
          <w:rFonts w:ascii="Arial" w:hAnsi="Arial" w:cs="Arial"/>
        </w:rPr>
        <w:t xml:space="preserve">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3842E2D5" w14:textId="77777777" w:rsidR="00577F8B" w:rsidRPr="00E911DC" w:rsidRDefault="00577F8B" w:rsidP="00577F8B">
      <w:pPr>
        <w:rPr>
          <w:rFonts w:ascii="Arial" w:hAnsi="Arial" w:cs="Arial"/>
        </w:rPr>
      </w:pPr>
      <w:r w:rsidRPr="00E911DC">
        <w:rPr>
          <w:rFonts w:ascii="Arial" w:hAnsi="Arial" w:cs="Arial"/>
        </w:rPr>
        <w:t>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r w:rsidRPr="00E911DC">
        <w:rPr>
          <w:rFonts w:ascii="Arial" w:hAnsi="Arial" w:cs="Arial"/>
        </w:rPr>
        <w:br/>
      </w:r>
      <w:r w:rsidRPr="00E911DC">
        <w:rPr>
          <w:rFonts w:ascii="Arial" w:hAnsi="Arial" w:cs="Arial"/>
        </w:rPr>
        <w:b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7904D7B9" w14:textId="77777777" w:rsidR="00577F8B" w:rsidRPr="00E911DC" w:rsidRDefault="00577F8B" w:rsidP="00577F8B">
      <w:pPr>
        <w:rPr>
          <w:rFonts w:ascii="Arial" w:hAnsi="Arial" w:cs="Arial"/>
        </w:rPr>
      </w:pPr>
    </w:p>
    <w:p w14:paraId="49D4C5F3" w14:textId="77777777" w:rsidR="00577F8B" w:rsidRPr="00E911DC" w:rsidRDefault="00577F8B" w:rsidP="00577F8B">
      <w:pPr>
        <w:rPr>
          <w:rFonts w:ascii="Arial" w:hAnsi="Arial" w:cs="Arial"/>
        </w:rPr>
      </w:pPr>
    </w:p>
    <w:p w14:paraId="02BACAEE" w14:textId="77777777" w:rsidR="00577F8B" w:rsidRPr="00E911DC" w:rsidRDefault="00577F8B" w:rsidP="00577F8B">
      <w:pPr>
        <w:rPr>
          <w:rStyle w:val="Strong"/>
          <w:rFonts w:ascii="Arial" w:hAnsi="Arial" w:cs="Arial"/>
          <w:color w:val="31849B" w:themeColor="accent5" w:themeShade="BF"/>
        </w:rPr>
      </w:pPr>
      <w:r w:rsidRPr="00E911DC">
        <w:rPr>
          <w:rStyle w:val="Strong"/>
          <w:rFonts w:ascii="Arial" w:hAnsi="Arial" w:cs="Arial"/>
          <w:color w:val="31849B" w:themeColor="accent5" w:themeShade="BF"/>
        </w:rPr>
        <w:lastRenderedPageBreak/>
        <w:t>Scope of Policy</w:t>
      </w:r>
    </w:p>
    <w:p w14:paraId="5307C328" w14:textId="77777777" w:rsidR="00577F8B" w:rsidRPr="00E911DC" w:rsidRDefault="00577F8B" w:rsidP="00577F8B">
      <w:pPr>
        <w:rPr>
          <w:rFonts w:ascii="Arial" w:hAnsi="Arial" w:cs="Arial"/>
        </w:rPr>
      </w:pPr>
      <w:r w:rsidRPr="00E911DC">
        <w:rPr>
          <w:rFonts w:ascii="Arial" w:hAnsi="Arial" w:cs="Arial"/>
        </w:rP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284BA2" w:rsidRPr="00E911DC">
        <w:rPr>
          <w:rFonts w:ascii="Arial" w:hAnsi="Arial" w:cs="Arial"/>
        </w:rPr>
        <w:t>:</w:t>
      </w:r>
    </w:p>
    <w:p w14:paraId="6BD6C64C" w14:textId="77777777" w:rsidR="00577F8B" w:rsidRPr="00E911DC" w:rsidRDefault="00577F8B" w:rsidP="00577F8B">
      <w:pPr>
        <w:rPr>
          <w:rFonts w:ascii="Arial" w:hAnsi="Arial" w:cs="Arial"/>
        </w:rPr>
      </w:pPr>
    </w:p>
    <w:p w14:paraId="2982509D"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Financial malpractice or impropriety or fraud </w:t>
      </w:r>
    </w:p>
    <w:p w14:paraId="075B6C62"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Failure to comply with a</w:t>
      </w:r>
      <w:r w:rsidR="00E911DC">
        <w:rPr>
          <w:rFonts w:ascii="Arial" w:hAnsi="Arial" w:cs="Arial"/>
        </w:rPr>
        <w:t>ny</w:t>
      </w:r>
      <w:r w:rsidRPr="00E911DC">
        <w:rPr>
          <w:rFonts w:ascii="Arial" w:hAnsi="Arial" w:cs="Arial"/>
        </w:rPr>
        <w:t xml:space="preserve"> </w:t>
      </w:r>
      <w:r w:rsidR="00E911DC">
        <w:rPr>
          <w:rFonts w:ascii="Arial" w:hAnsi="Arial" w:cs="Arial"/>
        </w:rPr>
        <w:t>L</w:t>
      </w:r>
      <w:r w:rsidRPr="00E911DC">
        <w:rPr>
          <w:rFonts w:ascii="Arial" w:hAnsi="Arial" w:cs="Arial"/>
        </w:rPr>
        <w:t xml:space="preserve">egal </w:t>
      </w:r>
      <w:r w:rsidR="00E911DC">
        <w:rPr>
          <w:rFonts w:ascii="Arial" w:hAnsi="Arial" w:cs="Arial"/>
        </w:rPr>
        <w:t>O</w:t>
      </w:r>
      <w:r w:rsidRPr="00E911DC">
        <w:rPr>
          <w:rFonts w:ascii="Arial" w:hAnsi="Arial" w:cs="Arial"/>
        </w:rPr>
        <w:t>bligation</w:t>
      </w:r>
      <w:r w:rsidR="00E911DC">
        <w:rPr>
          <w:rFonts w:ascii="Arial" w:hAnsi="Arial" w:cs="Arial"/>
        </w:rPr>
        <w:t>s</w:t>
      </w:r>
      <w:r w:rsidRPr="00E911DC">
        <w:rPr>
          <w:rFonts w:ascii="Arial" w:hAnsi="Arial" w:cs="Arial"/>
        </w:rPr>
        <w:t xml:space="preserve"> or Statutes </w:t>
      </w:r>
    </w:p>
    <w:p w14:paraId="59599ACE"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Dangers to Health &amp; Safety or the environment </w:t>
      </w:r>
    </w:p>
    <w:p w14:paraId="5D94BB4F"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Criminal activity </w:t>
      </w:r>
    </w:p>
    <w:p w14:paraId="2DE2A3D0"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Improper conduct or unethical behaviour </w:t>
      </w:r>
    </w:p>
    <w:p w14:paraId="6AB31B6E"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Attempts to conceal any of these</w:t>
      </w:r>
    </w:p>
    <w:p w14:paraId="743045FE" w14:textId="77777777" w:rsidR="00577F8B" w:rsidRPr="00E911DC" w:rsidRDefault="00577F8B" w:rsidP="00577F8B">
      <w:pPr>
        <w:ind w:left="360"/>
        <w:rPr>
          <w:rFonts w:ascii="Arial" w:hAnsi="Arial" w:cs="Arial"/>
        </w:rPr>
      </w:pPr>
    </w:p>
    <w:p w14:paraId="7AFA04DA" w14:textId="77777777" w:rsidR="00577F8B" w:rsidRPr="00E911DC" w:rsidRDefault="00577F8B" w:rsidP="00577F8B">
      <w:pPr>
        <w:rPr>
          <w:rFonts w:ascii="Arial" w:hAnsi="Arial" w:cs="Arial"/>
        </w:rPr>
      </w:pPr>
      <w:r w:rsidRPr="00E911DC">
        <w:rPr>
          <w:rStyle w:val="Strong"/>
          <w:rFonts w:ascii="Arial" w:hAnsi="Arial" w:cs="Arial"/>
          <w:color w:val="31849B" w:themeColor="accent5" w:themeShade="BF"/>
        </w:rPr>
        <w:t>Safeguards</w:t>
      </w:r>
      <w:r w:rsidRPr="00E911DC">
        <w:rPr>
          <w:rFonts w:ascii="Arial" w:hAnsi="Arial" w:cs="Arial"/>
          <w:color w:val="31849B" w:themeColor="accent5" w:themeShade="BF"/>
        </w:rPr>
        <w:br/>
      </w:r>
      <w:r w:rsidRPr="00E911DC">
        <w:rPr>
          <w:rFonts w:ascii="Arial" w:hAnsi="Arial" w:cs="Arial"/>
        </w:rPr>
        <w:br/>
      </w:r>
      <w:r w:rsidRPr="00E911DC">
        <w:rPr>
          <w:rStyle w:val="Strong"/>
          <w:rFonts w:ascii="Arial" w:hAnsi="Arial" w:cs="Arial"/>
          <w:color w:val="31849B" w:themeColor="accent5" w:themeShade="BF"/>
        </w:rPr>
        <w:t>i. Protection</w:t>
      </w:r>
      <w:r w:rsidRPr="00E911DC">
        <w:rPr>
          <w:rFonts w:ascii="Arial" w:hAnsi="Arial" w:cs="Arial"/>
          <w:color w:val="31849B" w:themeColor="accent5" w:themeShade="BF"/>
        </w:rPr>
        <w:br/>
      </w:r>
      <w:r w:rsidRPr="00E911DC">
        <w:rPr>
          <w:rFonts w:ascii="Arial" w:hAnsi="Arial" w:cs="Arial"/>
        </w:rPr>
        <w:br/>
        <w:t>This policy is designed to offer protection to those employees of the Company who disclose such concerns provided the disclosure is made:</w:t>
      </w:r>
    </w:p>
    <w:p w14:paraId="64990878" w14:textId="77777777" w:rsidR="00577F8B" w:rsidRPr="00E911DC" w:rsidRDefault="00577F8B" w:rsidP="00577F8B">
      <w:pPr>
        <w:rPr>
          <w:rFonts w:ascii="Arial" w:hAnsi="Arial" w:cs="Arial"/>
        </w:rPr>
      </w:pPr>
    </w:p>
    <w:p w14:paraId="5DE6C560"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in good faith </w:t>
      </w:r>
    </w:p>
    <w:p w14:paraId="792ECF49" w14:textId="77777777" w:rsidR="00577F8B" w:rsidRPr="00E911DC" w:rsidRDefault="00577F8B" w:rsidP="00577F8B">
      <w:pPr>
        <w:numPr>
          <w:ilvl w:val="0"/>
          <w:numId w:val="3"/>
        </w:numPr>
        <w:spacing w:after="0" w:line="240" w:lineRule="auto"/>
        <w:ind w:left="720"/>
        <w:rPr>
          <w:rFonts w:ascii="Arial" w:hAnsi="Arial" w:cs="Arial"/>
        </w:rPr>
      </w:pPr>
      <w:r w:rsidRPr="00E911DC">
        <w:rPr>
          <w:rFonts w:ascii="Arial" w:hAnsi="Arial" w:cs="Arial"/>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13D31471" w14:textId="77777777" w:rsidR="00577F8B" w:rsidRPr="00E911DC" w:rsidRDefault="00577F8B" w:rsidP="00577F8B">
      <w:pPr>
        <w:rPr>
          <w:rFonts w:ascii="Arial" w:hAnsi="Arial" w:cs="Arial"/>
          <w:b/>
          <w:sz w:val="24"/>
          <w:szCs w:val="24"/>
        </w:rPr>
      </w:pPr>
    </w:p>
    <w:p w14:paraId="23C3DC57" w14:textId="77777777" w:rsidR="0056112C" w:rsidRPr="00E911DC" w:rsidRDefault="0056112C" w:rsidP="0056112C">
      <w:pPr>
        <w:rPr>
          <w:rFonts w:ascii="Arial" w:hAnsi="Arial" w:cs="Arial"/>
        </w:rPr>
      </w:pPr>
      <w:r w:rsidRPr="00E911DC">
        <w:rPr>
          <w:rStyle w:val="Strong"/>
          <w:rFonts w:ascii="Arial" w:hAnsi="Arial" w:cs="Arial"/>
          <w:color w:val="31849B" w:themeColor="accent5" w:themeShade="BF"/>
        </w:rPr>
        <w:t>ii. Confidentiality</w:t>
      </w:r>
      <w:r w:rsidRPr="00E911DC">
        <w:rPr>
          <w:rFonts w:ascii="Arial" w:hAnsi="Arial" w:cs="Arial"/>
          <w:color w:val="31849B" w:themeColor="accent5" w:themeShade="BF"/>
        </w:rPr>
        <w:br/>
      </w:r>
      <w:r w:rsidRPr="00E911DC">
        <w:rPr>
          <w:rFonts w:ascii="Arial" w:hAnsi="Arial" w:cs="Arial"/>
        </w:rPr>
        <w:b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BE8AC4E" w14:textId="77777777" w:rsidR="0056112C" w:rsidRPr="00E911DC" w:rsidRDefault="0056112C" w:rsidP="0056112C">
      <w:pPr>
        <w:rPr>
          <w:rFonts w:ascii="Arial" w:hAnsi="Arial" w:cs="Arial"/>
        </w:rPr>
      </w:pPr>
    </w:p>
    <w:p w14:paraId="1826F6BE" w14:textId="77777777" w:rsidR="00087CA7" w:rsidRPr="00E911DC" w:rsidRDefault="00087CA7" w:rsidP="0056112C">
      <w:pPr>
        <w:rPr>
          <w:rFonts w:ascii="Arial" w:hAnsi="Arial" w:cs="Arial"/>
        </w:rPr>
      </w:pPr>
    </w:p>
    <w:p w14:paraId="29D498AA" w14:textId="77777777" w:rsidR="0056112C" w:rsidRPr="00E911DC" w:rsidRDefault="0056112C" w:rsidP="0056112C">
      <w:pPr>
        <w:rPr>
          <w:rFonts w:ascii="Arial" w:hAnsi="Arial" w:cs="Arial"/>
        </w:rPr>
      </w:pPr>
      <w:r w:rsidRPr="00E911DC">
        <w:rPr>
          <w:rFonts w:ascii="Arial" w:hAnsi="Arial" w:cs="Arial"/>
        </w:rPr>
        <w:lastRenderedPageBreak/>
        <w:br/>
      </w:r>
      <w:r w:rsidRPr="00E911DC">
        <w:rPr>
          <w:rFonts w:ascii="Arial" w:hAnsi="Arial" w:cs="Arial"/>
        </w:rPr>
        <w:br/>
      </w:r>
      <w:r w:rsidRPr="00E911DC">
        <w:rPr>
          <w:rStyle w:val="Strong"/>
          <w:rFonts w:ascii="Arial" w:hAnsi="Arial" w:cs="Arial"/>
          <w:color w:val="31849B" w:themeColor="accent5" w:themeShade="BF"/>
        </w:rPr>
        <w:t>iii. Anonymous Allegations</w:t>
      </w:r>
      <w:r w:rsidRPr="00E911DC">
        <w:rPr>
          <w:rFonts w:ascii="Arial" w:hAnsi="Arial" w:cs="Arial"/>
          <w:color w:val="31849B" w:themeColor="accent5" w:themeShade="BF"/>
        </w:rPr>
        <w:br/>
      </w:r>
      <w:r w:rsidRPr="00E911DC">
        <w:rPr>
          <w:rFonts w:ascii="Arial" w:hAnsi="Arial" w:cs="Arial"/>
        </w:rPr>
        <w:br/>
        <w:t>This policy encourages individuals to put their name to any disclosures they make. Concerns expressed anonymously are much less credible, but they may be considered at the discretion of the Company.</w:t>
      </w:r>
      <w:r w:rsidRPr="00E911DC">
        <w:rPr>
          <w:rFonts w:ascii="Arial" w:hAnsi="Arial" w:cs="Arial"/>
        </w:rPr>
        <w:br/>
      </w:r>
      <w:r w:rsidRPr="00E911DC">
        <w:rPr>
          <w:rFonts w:ascii="Arial" w:hAnsi="Arial" w:cs="Arial"/>
        </w:rPr>
        <w:br/>
        <w:t>In exercising this discretion, the factors to be taken into account will include:</w:t>
      </w:r>
    </w:p>
    <w:p w14:paraId="5BF169BA" w14:textId="77777777" w:rsidR="0056112C" w:rsidRPr="00E911DC" w:rsidRDefault="0056112C" w:rsidP="0056112C">
      <w:pPr>
        <w:rPr>
          <w:rFonts w:ascii="Arial" w:hAnsi="Arial" w:cs="Arial"/>
        </w:rPr>
      </w:pPr>
    </w:p>
    <w:p w14:paraId="5771F8B5"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The seriousness of the issues raised </w:t>
      </w:r>
    </w:p>
    <w:p w14:paraId="4A5F266C"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The credibility of the concern </w:t>
      </w:r>
    </w:p>
    <w:p w14:paraId="3F51E1F0"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The likelihood of confirming the allegation from attributable sources </w:t>
      </w:r>
    </w:p>
    <w:p w14:paraId="435592D2" w14:textId="77777777" w:rsidR="0056112C" w:rsidRPr="00E911DC" w:rsidRDefault="0056112C" w:rsidP="0056112C">
      <w:pPr>
        <w:ind w:left="360"/>
        <w:rPr>
          <w:rFonts w:ascii="Arial" w:hAnsi="Arial" w:cs="Arial"/>
        </w:rPr>
      </w:pPr>
    </w:p>
    <w:p w14:paraId="44EE6BF0" w14:textId="77777777" w:rsidR="0056112C" w:rsidRPr="00E911DC" w:rsidRDefault="0056112C" w:rsidP="0056112C">
      <w:pPr>
        <w:rPr>
          <w:rFonts w:ascii="Arial" w:hAnsi="Arial" w:cs="Arial"/>
        </w:rPr>
      </w:pPr>
      <w:r w:rsidRPr="00E911DC">
        <w:rPr>
          <w:rStyle w:val="Strong"/>
          <w:rFonts w:ascii="Arial" w:hAnsi="Arial" w:cs="Arial"/>
          <w:color w:val="31849B" w:themeColor="accent5" w:themeShade="BF"/>
        </w:rPr>
        <w:t>iv. Untrue Allegations</w:t>
      </w:r>
      <w:r w:rsidRPr="00E911DC">
        <w:rPr>
          <w:rFonts w:ascii="Arial" w:hAnsi="Arial" w:cs="Arial"/>
          <w:color w:val="31849B" w:themeColor="accent5" w:themeShade="BF"/>
        </w:rPr>
        <w:br/>
      </w:r>
      <w:r w:rsidRPr="00E911DC">
        <w:rPr>
          <w:rFonts w:ascii="Arial" w:hAnsi="Arial" w:cs="Arial"/>
        </w:rP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09AFB460" w14:textId="77777777" w:rsidR="0056112C" w:rsidRPr="00E911DC" w:rsidRDefault="0056112C" w:rsidP="0056112C">
      <w:pPr>
        <w:rPr>
          <w:rFonts w:ascii="Arial" w:hAnsi="Arial" w:cs="Arial"/>
        </w:rPr>
      </w:pPr>
    </w:p>
    <w:p w14:paraId="34A786B7" w14:textId="77777777" w:rsidR="0056112C" w:rsidRPr="00E911DC" w:rsidRDefault="0056112C" w:rsidP="0056112C">
      <w:pPr>
        <w:rPr>
          <w:rStyle w:val="Strong"/>
          <w:rFonts w:ascii="Arial" w:hAnsi="Arial" w:cs="Arial"/>
          <w:color w:val="31849B" w:themeColor="accent5" w:themeShade="BF"/>
        </w:rPr>
      </w:pPr>
      <w:r w:rsidRPr="00E911DC">
        <w:rPr>
          <w:rStyle w:val="Strong"/>
          <w:rFonts w:ascii="Arial" w:hAnsi="Arial" w:cs="Arial"/>
          <w:color w:val="31849B" w:themeColor="accent5" w:themeShade="BF"/>
        </w:rPr>
        <w:t>Procedures for Making a Disclosure</w:t>
      </w:r>
    </w:p>
    <w:p w14:paraId="19E7EB08" w14:textId="77777777" w:rsidR="0056112C" w:rsidRPr="00E911DC" w:rsidRDefault="0056112C" w:rsidP="0056112C">
      <w:pPr>
        <w:rPr>
          <w:rFonts w:ascii="Arial" w:hAnsi="Arial" w:cs="Arial"/>
        </w:rPr>
      </w:pPr>
      <w:r w:rsidRPr="00E911DC">
        <w:rPr>
          <w:rFonts w:ascii="Arial" w:hAnsi="Arial" w:cs="Arial"/>
        </w:rPr>
        <w:t>On receipt of a complaint of malpractice, the member of staff who receives and takes note of the complaint, must pass this information as soon as is reasonably possible, to the appropriate designated investigating officer as follows:</w:t>
      </w:r>
    </w:p>
    <w:p w14:paraId="71304F7F"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Complaints of malpractice will be investigated by the appropriate </w:t>
      </w:r>
      <w:r w:rsidR="00E911DC">
        <w:rPr>
          <w:rFonts w:ascii="Arial" w:hAnsi="Arial" w:cs="Arial"/>
        </w:rPr>
        <w:t>Manager</w:t>
      </w:r>
      <w:r w:rsidRPr="00E911DC">
        <w:rPr>
          <w:rFonts w:ascii="Arial" w:hAnsi="Arial" w:cs="Arial"/>
        </w:rPr>
        <w:t xml:space="preserve"> unless the complaint is against the </w:t>
      </w:r>
      <w:r w:rsidR="00E911DC">
        <w:rPr>
          <w:rFonts w:ascii="Arial" w:hAnsi="Arial" w:cs="Arial"/>
        </w:rPr>
        <w:t>Manager</w:t>
      </w:r>
      <w:r w:rsidRPr="00E911DC">
        <w:rPr>
          <w:rFonts w:ascii="Arial" w:hAnsi="Arial" w:cs="Arial"/>
        </w:rPr>
        <w:t xml:space="preserve"> or is in any way related to the actions of the </w:t>
      </w:r>
      <w:r w:rsidR="00E911DC">
        <w:rPr>
          <w:rFonts w:ascii="Arial" w:hAnsi="Arial" w:cs="Arial"/>
        </w:rPr>
        <w:t>manager</w:t>
      </w:r>
      <w:r w:rsidRPr="00E911DC">
        <w:rPr>
          <w:rFonts w:ascii="Arial" w:hAnsi="Arial" w:cs="Arial"/>
        </w:rPr>
        <w:t xml:space="preserve">. In such cases, the complaint should be passed to the </w:t>
      </w:r>
      <w:r w:rsidR="00284BA2" w:rsidRPr="00E911DC">
        <w:rPr>
          <w:rFonts w:ascii="Arial" w:hAnsi="Arial" w:cs="Arial"/>
        </w:rPr>
        <w:t>Managing Director</w:t>
      </w:r>
      <w:r w:rsidRPr="00E911DC">
        <w:rPr>
          <w:rFonts w:ascii="Arial" w:hAnsi="Arial" w:cs="Arial"/>
        </w:rPr>
        <w:t xml:space="preserve"> for referral. </w:t>
      </w:r>
    </w:p>
    <w:p w14:paraId="6566A0D0"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In the case of a complaint, which is </w:t>
      </w:r>
      <w:r w:rsidR="00284BA2" w:rsidRPr="00E911DC">
        <w:rPr>
          <w:rFonts w:ascii="Arial" w:hAnsi="Arial" w:cs="Arial"/>
        </w:rPr>
        <w:t xml:space="preserve">in </w:t>
      </w:r>
      <w:r w:rsidRPr="00E911DC">
        <w:rPr>
          <w:rFonts w:ascii="Arial" w:hAnsi="Arial" w:cs="Arial"/>
        </w:rPr>
        <w:t xml:space="preserve">any way connected with but not against the </w:t>
      </w:r>
      <w:r w:rsidR="00E911DC">
        <w:rPr>
          <w:rFonts w:ascii="Arial" w:hAnsi="Arial" w:cs="Arial"/>
        </w:rPr>
        <w:t>Manager</w:t>
      </w:r>
      <w:r w:rsidRPr="00E911DC">
        <w:rPr>
          <w:rFonts w:ascii="Arial" w:hAnsi="Arial" w:cs="Arial"/>
        </w:rPr>
        <w:t xml:space="preserve">, the </w:t>
      </w:r>
      <w:r w:rsidR="00284BA2" w:rsidRPr="00E911DC">
        <w:rPr>
          <w:rFonts w:ascii="Arial" w:hAnsi="Arial" w:cs="Arial"/>
        </w:rPr>
        <w:t>Managing Director will nominate a representative</w:t>
      </w:r>
      <w:r w:rsidRPr="00E911DC">
        <w:rPr>
          <w:rFonts w:ascii="Arial" w:hAnsi="Arial" w:cs="Arial"/>
        </w:rPr>
        <w:t xml:space="preserve"> to act as the alternative investigating officer. </w:t>
      </w:r>
    </w:p>
    <w:p w14:paraId="2D343823"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 xml:space="preserve">Complaints against the </w:t>
      </w:r>
      <w:r w:rsidR="00284BA2" w:rsidRPr="00E911DC">
        <w:rPr>
          <w:rFonts w:ascii="Arial" w:hAnsi="Arial" w:cs="Arial"/>
        </w:rPr>
        <w:t>Managing Director</w:t>
      </w:r>
      <w:r w:rsidRPr="00E911DC">
        <w:rPr>
          <w:rFonts w:ascii="Arial" w:hAnsi="Arial" w:cs="Arial"/>
        </w:rPr>
        <w:t xml:space="preserve"> should be passed to the </w:t>
      </w:r>
      <w:r w:rsidR="00284BA2" w:rsidRPr="00E911DC">
        <w:rPr>
          <w:rFonts w:ascii="Arial" w:hAnsi="Arial" w:cs="Arial"/>
        </w:rPr>
        <w:t>appropriate company Director</w:t>
      </w:r>
      <w:r w:rsidRPr="00E911DC">
        <w:rPr>
          <w:rFonts w:ascii="Arial" w:hAnsi="Arial" w:cs="Arial"/>
        </w:rPr>
        <w:t xml:space="preserve"> who will nominate an appropriate investigating officer. </w:t>
      </w:r>
    </w:p>
    <w:p w14:paraId="475A51C2" w14:textId="77777777" w:rsidR="0056112C" w:rsidRPr="00E911DC" w:rsidRDefault="0056112C" w:rsidP="0056112C">
      <w:pPr>
        <w:numPr>
          <w:ilvl w:val="0"/>
          <w:numId w:val="4"/>
        </w:numPr>
        <w:spacing w:after="0" w:line="240" w:lineRule="auto"/>
        <w:ind w:left="720" w:hanging="360"/>
        <w:rPr>
          <w:rFonts w:ascii="Arial" w:hAnsi="Arial" w:cs="Arial"/>
        </w:rPr>
      </w:pPr>
      <w:r w:rsidRPr="00E911DC">
        <w:rPr>
          <w:rFonts w:ascii="Arial" w:hAnsi="Arial" w:cs="Arial"/>
        </w:rPr>
        <w:t>The complainant has the right to bypass the line management structure and take their complaint direct</w:t>
      </w:r>
      <w:r w:rsidR="00284BA2" w:rsidRPr="00E911DC">
        <w:rPr>
          <w:rFonts w:ascii="Arial" w:hAnsi="Arial" w:cs="Arial"/>
        </w:rPr>
        <w:t>ly</w:t>
      </w:r>
      <w:r w:rsidRPr="00E911DC">
        <w:rPr>
          <w:rFonts w:ascii="Arial" w:hAnsi="Arial" w:cs="Arial"/>
        </w:rPr>
        <w:t xml:space="preserve"> to the </w:t>
      </w:r>
      <w:r w:rsidR="00284BA2" w:rsidRPr="00E911DC">
        <w:rPr>
          <w:rFonts w:ascii="Arial" w:hAnsi="Arial" w:cs="Arial"/>
        </w:rPr>
        <w:t>Managing Director</w:t>
      </w:r>
      <w:r w:rsidRPr="00E911DC">
        <w:rPr>
          <w:rFonts w:ascii="Arial" w:hAnsi="Arial" w:cs="Arial"/>
        </w:rPr>
        <w:t xml:space="preserve">. The </w:t>
      </w:r>
      <w:r w:rsidR="00284BA2" w:rsidRPr="00E911DC">
        <w:rPr>
          <w:rFonts w:ascii="Arial" w:hAnsi="Arial" w:cs="Arial"/>
        </w:rPr>
        <w:t>Managing Director</w:t>
      </w:r>
      <w:r w:rsidRPr="00E911DC">
        <w:rPr>
          <w:rFonts w:ascii="Arial" w:hAnsi="Arial" w:cs="Arial"/>
        </w:rPr>
        <w:t xml:space="preserve"> has the right to refer the complaint back to management if she feels that the management without any conflict of interest can more appropriately investigate the complaint. </w:t>
      </w:r>
    </w:p>
    <w:p w14:paraId="6EFF5E68" w14:textId="77777777" w:rsidR="0056112C" w:rsidRPr="00E911DC" w:rsidRDefault="0056112C" w:rsidP="0056112C">
      <w:pPr>
        <w:ind w:left="360"/>
        <w:rPr>
          <w:rFonts w:ascii="Arial" w:hAnsi="Arial" w:cs="Arial"/>
        </w:rPr>
      </w:pPr>
    </w:p>
    <w:p w14:paraId="55D5C14D" w14:textId="77777777" w:rsidR="0056112C" w:rsidRPr="00E911DC" w:rsidRDefault="0056112C" w:rsidP="0056112C">
      <w:pPr>
        <w:rPr>
          <w:rFonts w:ascii="Arial" w:hAnsi="Arial" w:cs="Arial"/>
        </w:rPr>
      </w:pPr>
      <w:r w:rsidRPr="00E911DC">
        <w:rPr>
          <w:rFonts w:ascii="Arial" w:hAnsi="Arial" w:cs="Arial"/>
        </w:rPr>
        <w:lastRenderedPageBreak/>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04659B31" w14:textId="77777777" w:rsidR="0056112C" w:rsidRPr="00E911DC" w:rsidRDefault="0056112C" w:rsidP="0056112C">
      <w:pPr>
        <w:pStyle w:val="Blockquote"/>
        <w:numPr>
          <w:ilvl w:val="0"/>
          <w:numId w:val="6"/>
        </w:numPr>
        <w:rPr>
          <w:rFonts w:ascii="Arial" w:hAnsi="Arial" w:cs="Arial"/>
          <w:sz w:val="20"/>
        </w:rPr>
      </w:pPr>
      <w:r w:rsidRPr="00E911DC">
        <w:rPr>
          <w:rFonts w:ascii="Arial" w:hAnsi="Arial" w:cs="Arial"/>
          <w:sz w:val="20"/>
        </w:rPr>
        <w:t>Christian Mollan</w:t>
      </w:r>
    </w:p>
    <w:p w14:paraId="48FF4FB6" w14:textId="77777777" w:rsidR="0056112C" w:rsidRPr="00E911DC" w:rsidRDefault="0056112C" w:rsidP="0056112C">
      <w:pPr>
        <w:pStyle w:val="Blockquote"/>
        <w:rPr>
          <w:rFonts w:ascii="Arial" w:hAnsi="Arial" w:cs="Arial"/>
          <w:sz w:val="20"/>
        </w:rPr>
      </w:pPr>
    </w:p>
    <w:p w14:paraId="05A1D9B4" w14:textId="77777777" w:rsidR="0056112C" w:rsidRPr="00E911DC" w:rsidRDefault="0056112C" w:rsidP="0056112C">
      <w:pPr>
        <w:pStyle w:val="Blockquote"/>
        <w:numPr>
          <w:ilvl w:val="0"/>
          <w:numId w:val="6"/>
        </w:numPr>
        <w:rPr>
          <w:rFonts w:ascii="Arial" w:hAnsi="Arial" w:cs="Arial"/>
          <w:sz w:val="20"/>
        </w:rPr>
      </w:pPr>
      <w:r w:rsidRPr="00E911DC">
        <w:rPr>
          <w:rFonts w:ascii="Arial" w:hAnsi="Arial" w:cs="Arial"/>
          <w:sz w:val="20"/>
        </w:rPr>
        <w:t>Sean Mollan</w:t>
      </w:r>
    </w:p>
    <w:p w14:paraId="2D29870A" w14:textId="77777777" w:rsidR="0056112C" w:rsidRPr="00E911DC" w:rsidRDefault="0056112C" w:rsidP="00577F8B">
      <w:pPr>
        <w:rPr>
          <w:rFonts w:ascii="Arial" w:hAnsi="Arial" w:cs="Arial"/>
          <w:b/>
          <w:sz w:val="24"/>
          <w:szCs w:val="24"/>
        </w:rPr>
      </w:pPr>
    </w:p>
    <w:p w14:paraId="2D2E4A66" w14:textId="77777777" w:rsidR="0056112C" w:rsidRPr="00E911DC" w:rsidRDefault="0056112C" w:rsidP="0056112C">
      <w:pPr>
        <w:rPr>
          <w:rFonts w:ascii="Arial" w:hAnsi="Arial" w:cs="Arial"/>
        </w:rPr>
      </w:pPr>
      <w:r w:rsidRPr="00E911DC">
        <w:rPr>
          <w:rFonts w:ascii="Arial" w:hAnsi="Arial" w:cs="Arial"/>
        </w:rPr>
        <w:t>If there is evidence of criminal activity then the investigating officer should inform the police. The Company will ensure that any internal investigation does not hinder a formal police investigation.</w:t>
      </w:r>
    </w:p>
    <w:p w14:paraId="63E8F4A2" w14:textId="77777777" w:rsidR="0056112C" w:rsidRPr="00E911DC" w:rsidRDefault="0056112C" w:rsidP="0056112C">
      <w:pPr>
        <w:rPr>
          <w:rFonts w:ascii="Arial" w:hAnsi="Arial" w:cs="Arial"/>
          <w:b/>
          <w:color w:val="31849B" w:themeColor="accent5" w:themeShade="BF"/>
        </w:rPr>
      </w:pPr>
      <w:r w:rsidRPr="00E911DC">
        <w:rPr>
          <w:rFonts w:ascii="Arial" w:hAnsi="Arial" w:cs="Arial"/>
          <w:b/>
          <w:color w:val="31849B" w:themeColor="accent5" w:themeShade="BF"/>
        </w:rPr>
        <w:t>Timescales</w:t>
      </w:r>
    </w:p>
    <w:p w14:paraId="7AFDD2EC" w14:textId="77777777" w:rsidR="0056112C" w:rsidRPr="00E911DC" w:rsidRDefault="0056112C" w:rsidP="0056112C">
      <w:pPr>
        <w:rPr>
          <w:rFonts w:ascii="Arial" w:hAnsi="Arial" w:cs="Arial"/>
        </w:rPr>
      </w:pPr>
      <w:r w:rsidRPr="00E911DC">
        <w:rPr>
          <w:rFonts w:ascii="Arial" w:hAnsi="Arial" w:cs="Arial"/>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7691B366" w14:textId="77777777" w:rsidR="0056112C" w:rsidRPr="00E911DC" w:rsidRDefault="0056112C" w:rsidP="0056112C">
      <w:pPr>
        <w:rPr>
          <w:rFonts w:ascii="Arial" w:hAnsi="Arial" w:cs="Arial"/>
        </w:rPr>
      </w:pPr>
      <w:r w:rsidRPr="00E911DC">
        <w:rPr>
          <w:rFonts w:ascii="Arial" w:hAnsi="Arial" w:cs="Arial"/>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4E9C4012" w14:textId="77777777" w:rsidR="0056112C" w:rsidRPr="00E911DC" w:rsidRDefault="0056112C" w:rsidP="0056112C">
      <w:pPr>
        <w:rPr>
          <w:rFonts w:ascii="Arial" w:hAnsi="Arial" w:cs="Arial"/>
        </w:rPr>
      </w:pPr>
      <w:r w:rsidRPr="00E911DC">
        <w:rPr>
          <w:rFonts w:ascii="Arial" w:hAnsi="Arial" w:cs="Arial"/>
        </w:rPr>
        <w:t>All responses to the complainant should be in writing and sent to their home address.</w:t>
      </w:r>
    </w:p>
    <w:p w14:paraId="5B52E1A8" w14:textId="77777777" w:rsidR="0056112C" w:rsidRPr="00E911DC" w:rsidRDefault="0056112C" w:rsidP="0056112C">
      <w:pPr>
        <w:rPr>
          <w:rFonts w:ascii="Arial" w:hAnsi="Arial" w:cs="Arial"/>
          <w:color w:val="31849B" w:themeColor="accent5" w:themeShade="BF"/>
        </w:rPr>
      </w:pPr>
      <w:r w:rsidRPr="00E911DC">
        <w:rPr>
          <w:rFonts w:ascii="Arial" w:hAnsi="Arial" w:cs="Arial"/>
          <w:b/>
          <w:color w:val="31849B" w:themeColor="accent5" w:themeShade="BF"/>
        </w:rPr>
        <w:t>Investigating Procedure</w:t>
      </w:r>
      <w:r w:rsidRPr="00E911DC">
        <w:rPr>
          <w:rFonts w:ascii="Arial" w:hAnsi="Arial" w:cs="Arial"/>
          <w:color w:val="31849B" w:themeColor="accent5" w:themeShade="BF"/>
        </w:rPr>
        <w:t xml:space="preserve"> </w:t>
      </w:r>
    </w:p>
    <w:p w14:paraId="15A7D22F" w14:textId="77777777" w:rsidR="0056112C" w:rsidRPr="00E911DC" w:rsidRDefault="0056112C" w:rsidP="0056112C">
      <w:pPr>
        <w:rPr>
          <w:rFonts w:ascii="Arial" w:hAnsi="Arial" w:cs="Arial"/>
        </w:rPr>
      </w:pPr>
      <w:r w:rsidRPr="00E911DC">
        <w:rPr>
          <w:rFonts w:ascii="Arial" w:hAnsi="Arial" w:cs="Arial"/>
        </w:rPr>
        <w:t>The investigating officer should follow these steps:</w:t>
      </w:r>
    </w:p>
    <w:p w14:paraId="62371AFB"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Full details and clarifications of the complaint should be obtained. </w:t>
      </w:r>
    </w:p>
    <w:p w14:paraId="7712FB14"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2E371DAF"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The investigating officer should consider the involvement of the Company auditors and the Police at this stage and should consult with the </w:t>
      </w:r>
      <w:r w:rsidR="00284BA2" w:rsidRPr="00E911DC">
        <w:rPr>
          <w:rFonts w:ascii="Arial" w:hAnsi="Arial" w:cs="Arial"/>
        </w:rPr>
        <w:t>Managing Director. The al</w:t>
      </w:r>
      <w:r w:rsidRPr="00E911DC">
        <w:rPr>
          <w:rFonts w:ascii="Arial" w:hAnsi="Arial" w:cs="Arial"/>
        </w:rPr>
        <w:t xml:space="preserve">legations should be fully investigated by the investigating officer with the assistance where appropriate, of other individuals / bodies. </w:t>
      </w:r>
    </w:p>
    <w:p w14:paraId="137AA050"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w:t>
      </w:r>
      <w:r w:rsidR="00284BA2" w:rsidRPr="00E911DC">
        <w:rPr>
          <w:rFonts w:ascii="Arial" w:hAnsi="Arial" w:cs="Arial"/>
        </w:rPr>
        <w:t>Managing Director</w:t>
      </w:r>
      <w:r w:rsidRPr="00E911DC">
        <w:rPr>
          <w:rFonts w:ascii="Arial" w:hAnsi="Arial" w:cs="Arial"/>
        </w:rPr>
        <w:t xml:space="preserve">. </w:t>
      </w:r>
    </w:p>
    <w:p w14:paraId="6264D974"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lastRenderedPageBreak/>
        <w:t xml:space="preserve">The </w:t>
      </w:r>
      <w:r w:rsidR="00284BA2" w:rsidRPr="00E911DC">
        <w:rPr>
          <w:rFonts w:ascii="Arial" w:hAnsi="Arial" w:cs="Arial"/>
        </w:rPr>
        <w:t xml:space="preserve">Managing Director </w:t>
      </w:r>
      <w:r w:rsidRPr="00E911DC">
        <w:rPr>
          <w:rFonts w:ascii="Arial" w:hAnsi="Arial" w:cs="Arial"/>
        </w:rPr>
        <w:t xml:space="preserve">will decide what action to take. If the complaint is shown to be justified, then they will invoke the disciplinary or other appropriate Company procedures. </w:t>
      </w:r>
    </w:p>
    <w:p w14:paraId="51F7206A"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The complainant should be kept informed of the progress of the investigations and, if appropriate, of the final outcome. </w:t>
      </w:r>
    </w:p>
    <w:p w14:paraId="10A36438" w14:textId="77777777" w:rsidR="0056112C" w:rsidRPr="00E911DC" w:rsidRDefault="0056112C" w:rsidP="0056112C">
      <w:pPr>
        <w:numPr>
          <w:ilvl w:val="0"/>
          <w:numId w:val="5"/>
        </w:numPr>
        <w:spacing w:after="0" w:line="240" w:lineRule="auto"/>
        <w:ind w:left="720" w:hanging="360"/>
        <w:rPr>
          <w:rFonts w:ascii="Arial" w:hAnsi="Arial" w:cs="Arial"/>
        </w:rPr>
      </w:pPr>
      <w:r w:rsidRPr="00E911DC">
        <w:rPr>
          <w:rFonts w:ascii="Arial" w:hAnsi="Arial" w:cs="Arial"/>
        </w:rPr>
        <w:t xml:space="preserve">If appropriate, a copy of the outcomes will be passed to the Company Auditors to enable a review of the procedures. </w:t>
      </w:r>
    </w:p>
    <w:p w14:paraId="6748666C" w14:textId="77777777" w:rsidR="0056112C" w:rsidRPr="00E911DC" w:rsidRDefault="0056112C" w:rsidP="0056112C">
      <w:pPr>
        <w:ind w:left="360"/>
        <w:rPr>
          <w:rFonts w:ascii="Arial" w:hAnsi="Arial" w:cs="Arial"/>
        </w:rPr>
      </w:pPr>
    </w:p>
    <w:p w14:paraId="5F8E3245" w14:textId="77777777" w:rsidR="0056112C" w:rsidRPr="00E911DC" w:rsidRDefault="0056112C" w:rsidP="0056112C">
      <w:pPr>
        <w:rPr>
          <w:rFonts w:ascii="Arial" w:hAnsi="Arial" w:cs="Arial"/>
        </w:rPr>
      </w:pPr>
      <w:r w:rsidRPr="00E911DC">
        <w:rPr>
          <w:rFonts w:ascii="Arial" w:hAnsi="Arial" w:cs="Arial"/>
        </w:rPr>
        <w:t xml:space="preserve">If the complainant is not satisfied that their concern is being properly dealt with by the investigating officer, they have the right to raise it in confidence with the </w:t>
      </w:r>
      <w:r w:rsidR="00284BA2" w:rsidRPr="00E911DC">
        <w:rPr>
          <w:rFonts w:ascii="Arial" w:hAnsi="Arial" w:cs="Arial"/>
        </w:rPr>
        <w:t>Managing Director</w:t>
      </w:r>
      <w:r w:rsidRPr="00E911DC">
        <w:rPr>
          <w:rFonts w:ascii="Arial" w:hAnsi="Arial" w:cs="Arial"/>
        </w:rPr>
        <w:t xml:space="preserve"> or one of the designated persons described above.</w:t>
      </w:r>
    </w:p>
    <w:p w14:paraId="6D2B76A0" w14:textId="77777777" w:rsidR="00577F8B" w:rsidRPr="00E911DC" w:rsidRDefault="0056112C" w:rsidP="000F2D2F">
      <w:pPr>
        <w:rPr>
          <w:rFonts w:ascii="Arial" w:hAnsi="Arial" w:cs="Arial"/>
        </w:rPr>
      </w:pPr>
      <w:r w:rsidRPr="00E911DC">
        <w:rPr>
          <w:rFonts w:ascii="Arial" w:hAnsi="Arial" w:cs="Arial"/>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w:t>
      </w:r>
    </w:p>
    <w:p w14:paraId="3772D81A" w14:textId="77777777" w:rsidR="005F7DEC" w:rsidRPr="00E911DC" w:rsidRDefault="005F7DEC" w:rsidP="000F2D2F">
      <w:pPr>
        <w:rPr>
          <w:rFonts w:ascii="Arial" w:hAnsi="Arial" w:cs="Arial"/>
        </w:rPr>
      </w:pPr>
    </w:p>
    <w:p w14:paraId="4BD94093" w14:textId="77777777" w:rsidR="005F7DEC" w:rsidRPr="00E911DC" w:rsidRDefault="005F7DEC" w:rsidP="000F2D2F">
      <w:pPr>
        <w:rPr>
          <w:rFonts w:ascii="Arial" w:hAnsi="Arial" w:cs="Arial"/>
        </w:rPr>
      </w:pPr>
    </w:p>
    <w:p w14:paraId="688F2D27" w14:textId="77777777" w:rsidR="005F7DEC" w:rsidRPr="00E911DC" w:rsidRDefault="005F7DEC" w:rsidP="000F2D2F">
      <w:pPr>
        <w:rPr>
          <w:rFonts w:ascii="Arial" w:hAnsi="Arial" w:cs="Arial"/>
          <w:b/>
          <w:sz w:val="24"/>
          <w:szCs w:val="24"/>
        </w:rPr>
      </w:pPr>
    </w:p>
    <w:p w14:paraId="57C424A2" w14:textId="77777777" w:rsidR="000F2D2F" w:rsidRPr="00E911DC" w:rsidRDefault="000F2D2F" w:rsidP="000F2D2F">
      <w:pPr>
        <w:rPr>
          <w:rFonts w:ascii="Arial" w:hAnsi="Arial" w:cs="Arial"/>
          <w:b/>
          <w:sz w:val="24"/>
          <w:szCs w:val="24"/>
        </w:rPr>
      </w:pPr>
      <w:r w:rsidRPr="00E911DC">
        <w:rPr>
          <w:rFonts w:ascii="Arial" w:hAnsi="Arial" w:cs="Arial"/>
          <w:b/>
          <w:sz w:val="24"/>
          <w:szCs w:val="24"/>
        </w:rPr>
        <w:t xml:space="preserve">I understand and agree to the terms and conditions of the </w:t>
      </w:r>
      <w:r w:rsidR="00284BA2" w:rsidRPr="00E911DC">
        <w:rPr>
          <w:rFonts w:ascii="Arial" w:hAnsi="Arial" w:cs="Arial"/>
          <w:b/>
          <w:sz w:val="24"/>
          <w:szCs w:val="24"/>
        </w:rPr>
        <w:t>Code of Conduct</w:t>
      </w:r>
      <w:r w:rsidRPr="00E911DC">
        <w:rPr>
          <w:rFonts w:ascii="Arial" w:hAnsi="Arial" w:cs="Arial"/>
          <w:b/>
          <w:sz w:val="24"/>
          <w:szCs w:val="24"/>
        </w:rPr>
        <w:t xml:space="preserve"> as set out above.</w:t>
      </w:r>
    </w:p>
    <w:p w14:paraId="1ABE312C" w14:textId="77777777" w:rsidR="000F2D2F" w:rsidRPr="00E911DC" w:rsidRDefault="000F2D2F" w:rsidP="000F2D2F">
      <w:pPr>
        <w:rPr>
          <w:rFonts w:ascii="Arial" w:hAnsi="Arial" w:cs="Arial"/>
          <w:sz w:val="24"/>
          <w:szCs w:val="24"/>
        </w:rPr>
      </w:pPr>
    </w:p>
    <w:p w14:paraId="0D71220E" w14:textId="77777777" w:rsidR="000F2D2F" w:rsidRPr="00E911DC" w:rsidRDefault="000F2D2F" w:rsidP="000F2D2F">
      <w:pPr>
        <w:rPr>
          <w:rFonts w:ascii="Arial" w:hAnsi="Arial" w:cs="Arial"/>
          <w:sz w:val="24"/>
          <w:szCs w:val="24"/>
        </w:rPr>
      </w:pPr>
      <w:r w:rsidRPr="00E911DC">
        <w:rPr>
          <w:rFonts w:ascii="Arial" w:hAnsi="Arial" w:cs="Arial"/>
          <w:sz w:val="24"/>
          <w:szCs w:val="24"/>
        </w:rPr>
        <w:t>Associate Name:</w:t>
      </w:r>
      <w:r w:rsidR="0056112C" w:rsidRPr="00E911DC">
        <w:rPr>
          <w:rFonts w:ascii="Arial" w:hAnsi="Arial" w:cs="Arial"/>
          <w:sz w:val="24"/>
          <w:szCs w:val="24"/>
        </w:rPr>
        <w:t xml:space="preserve"> …………………………………………………..</w:t>
      </w:r>
    </w:p>
    <w:p w14:paraId="483427FC" w14:textId="77777777" w:rsidR="000F2D2F" w:rsidRPr="00E911DC" w:rsidRDefault="000F2D2F" w:rsidP="000F2D2F">
      <w:pPr>
        <w:rPr>
          <w:rFonts w:ascii="Arial" w:hAnsi="Arial" w:cs="Arial"/>
          <w:sz w:val="24"/>
          <w:szCs w:val="24"/>
        </w:rPr>
      </w:pPr>
    </w:p>
    <w:p w14:paraId="13EED188" w14:textId="77777777" w:rsidR="000F2D2F" w:rsidRPr="00E911DC" w:rsidRDefault="000F2D2F" w:rsidP="000F2D2F">
      <w:pPr>
        <w:rPr>
          <w:rFonts w:ascii="Arial" w:hAnsi="Arial" w:cs="Arial"/>
          <w:sz w:val="24"/>
          <w:szCs w:val="24"/>
        </w:rPr>
      </w:pPr>
      <w:r w:rsidRPr="00E911DC">
        <w:rPr>
          <w:rFonts w:ascii="Arial" w:hAnsi="Arial" w:cs="Arial"/>
          <w:sz w:val="24"/>
          <w:szCs w:val="24"/>
        </w:rPr>
        <w:t>Associate Signature:</w:t>
      </w:r>
      <w:r w:rsidR="0056112C" w:rsidRPr="00E911DC">
        <w:rPr>
          <w:rFonts w:ascii="Arial" w:hAnsi="Arial" w:cs="Arial"/>
          <w:sz w:val="24"/>
          <w:szCs w:val="24"/>
        </w:rPr>
        <w:t xml:space="preserve"> ……………………………….</w:t>
      </w:r>
      <w:r w:rsidRPr="00E911DC">
        <w:rPr>
          <w:rFonts w:ascii="Arial" w:hAnsi="Arial" w:cs="Arial"/>
          <w:sz w:val="24"/>
          <w:szCs w:val="24"/>
        </w:rPr>
        <w:tab/>
        <w:t>Date:</w:t>
      </w:r>
      <w:r w:rsidR="0056112C" w:rsidRPr="00E911DC">
        <w:rPr>
          <w:rFonts w:ascii="Arial" w:hAnsi="Arial" w:cs="Arial"/>
          <w:sz w:val="24"/>
          <w:szCs w:val="24"/>
        </w:rPr>
        <w:t xml:space="preserve"> ………………………….</w:t>
      </w:r>
    </w:p>
    <w:p w14:paraId="4BE8FFDC" w14:textId="77777777" w:rsidR="000F2D2F" w:rsidRPr="00E911DC" w:rsidRDefault="000F2D2F" w:rsidP="000F2D2F">
      <w:pPr>
        <w:rPr>
          <w:rFonts w:ascii="Arial" w:hAnsi="Arial" w:cs="Arial"/>
          <w:sz w:val="24"/>
          <w:szCs w:val="24"/>
        </w:rPr>
      </w:pPr>
    </w:p>
    <w:p w14:paraId="44AC7044" w14:textId="77777777" w:rsidR="000F2D2F" w:rsidRPr="00E911DC" w:rsidRDefault="000F2D2F" w:rsidP="000F2D2F">
      <w:pPr>
        <w:rPr>
          <w:rFonts w:ascii="Arial" w:hAnsi="Arial" w:cs="Arial"/>
          <w:sz w:val="24"/>
          <w:szCs w:val="24"/>
        </w:rPr>
      </w:pPr>
      <w:r w:rsidRPr="00E911DC">
        <w:rPr>
          <w:rFonts w:ascii="Arial" w:hAnsi="Arial" w:cs="Arial"/>
          <w:sz w:val="24"/>
          <w:szCs w:val="24"/>
        </w:rPr>
        <w:t>On behalf of,</w:t>
      </w:r>
    </w:p>
    <w:p w14:paraId="265BB646" w14:textId="77777777" w:rsidR="000F2D2F" w:rsidRPr="00E911DC" w:rsidRDefault="00087CA7" w:rsidP="000F2D2F">
      <w:pPr>
        <w:rPr>
          <w:rFonts w:ascii="Arial" w:hAnsi="Arial" w:cs="Arial"/>
          <w:b/>
          <w:sz w:val="24"/>
          <w:szCs w:val="24"/>
        </w:rPr>
      </w:pPr>
      <w:r w:rsidRPr="00E911DC">
        <w:rPr>
          <w:rFonts w:ascii="Arial" w:hAnsi="Arial" w:cs="Arial"/>
          <w:b/>
          <w:sz w:val="24"/>
          <w:szCs w:val="24"/>
        </w:rPr>
        <w:t>Peregrinate Ltd</w:t>
      </w:r>
    </w:p>
    <w:p w14:paraId="276C5F8B" w14:textId="77777777" w:rsidR="000F2D2F" w:rsidRPr="00E911DC" w:rsidRDefault="000F2D2F" w:rsidP="000F2D2F">
      <w:pPr>
        <w:rPr>
          <w:rFonts w:ascii="Arial" w:hAnsi="Arial" w:cs="Arial"/>
          <w:sz w:val="24"/>
          <w:szCs w:val="24"/>
        </w:rPr>
      </w:pPr>
    </w:p>
    <w:p w14:paraId="039A0F3F" w14:textId="77777777" w:rsidR="000F2D2F" w:rsidRPr="00E911DC" w:rsidRDefault="000F2D2F" w:rsidP="000F2D2F">
      <w:pPr>
        <w:rPr>
          <w:rFonts w:ascii="Arial" w:hAnsi="Arial" w:cs="Arial"/>
          <w:sz w:val="24"/>
          <w:szCs w:val="24"/>
        </w:rPr>
      </w:pPr>
      <w:r w:rsidRPr="00E911DC">
        <w:rPr>
          <w:rFonts w:ascii="Arial" w:hAnsi="Arial" w:cs="Arial"/>
          <w:sz w:val="24"/>
          <w:szCs w:val="24"/>
        </w:rPr>
        <w:t>Angela Mollan</w:t>
      </w:r>
    </w:p>
    <w:p w14:paraId="48479CC2" w14:textId="77777777" w:rsidR="000F2D2F" w:rsidRPr="00E911DC" w:rsidRDefault="000F2D2F" w:rsidP="000F2D2F">
      <w:pPr>
        <w:rPr>
          <w:rFonts w:ascii="Arial" w:hAnsi="Arial" w:cs="Arial"/>
          <w:sz w:val="24"/>
          <w:szCs w:val="24"/>
        </w:rPr>
      </w:pPr>
    </w:p>
    <w:p w14:paraId="7E559324" w14:textId="77777777" w:rsidR="000F2D2F" w:rsidRPr="00E911DC" w:rsidRDefault="000F2D2F" w:rsidP="000F2D2F">
      <w:pPr>
        <w:rPr>
          <w:rFonts w:ascii="Arial" w:hAnsi="Arial" w:cs="Arial"/>
          <w:sz w:val="24"/>
          <w:szCs w:val="24"/>
        </w:rPr>
      </w:pPr>
      <w:r w:rsidRPr="00E911DC">
        <w:rPr>
          <w:rFonts w:ascii="Arial" w:hAnsi="Arial" w:cs="Arial"/>
          <w:sz w:val="24"/>
          <w:szCs w:val="24"/>
        </w:rPr>
        <w:t>Signature:</w:t>
      </w:r>
      <w:r w:rsidR="0056112C" w:rsidRPr="00E911DC">
        <w:rPr>
          <w:rFonts w:ascii="Arial" w:hAnsi="Arial" w:cs="Arial"/>
          <w:sz w:val="24"/>
          <w:szCs w:val="24"/>
        </w:rPr>
        <w:t xml:space="preserve"> ………………………………………</w:t>
      </w:r>
      <w:r w:rsidRPr="00E911DC">
        <w:rPr>
          <w:rFonts w:ascii="Arial" w:hAnsi="Arial" w:cs="Arial"/>
          <w:sz w:val="24"/>
          <w:szCs w:val="24"/>
        </w:rPr>
        <w:tab/>
      </w:r>
      <w:r w:rsidR="0056112C" w:rsidRPr="00E911DC">
        <w:rPr>
          <w:rFonts w:ascii="Arial" w:hAnsi="Arial" w:cs="Arial"/>
          <w:sz w:val="24"/>
          <w:szCs w:val="24"/>
        </w:rPr>
        <w:t xml:space="preserve">           </w:t>
      </w:r>
      <w:r w:rsidRPr="00E911DC">
        <w:rPr>
          <w:rFonts w:ascii="Arial" w:hAnsi="Arial" w:cs="Arial"/>
          <w:sz w:val="24"/>
          <w:szCs w:val="24"/>
        </w:rPr>
        <w:t>Date:</w:t>
      </w:r>
      <w:r w:rsidR="0056112C" w:rsidRPr="00E911DC">
        <w:rPr>
          <w:rFonts w:ascii="Arial" w:hAnsi="Arial" w:cs="Arial"/>
          <w:sz w:val="24"/>
          <w:szCs w:val="24"/>
        </w:rPr>
        <w:t xml:space="preserve"> …………………………..</w:t>
      </w:r>
    </w:p>
    <w:sectPr w:rsidR="000F2D2F" w:rsidRPr="00E911DC" w:rsidSect="000F2D2F">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AF67" w14:textId="77777777" w:rsidR="00DE48B2" w:rsidRDefault="00DE48B2" w:rsidP="003352C5">
      <w:pPr>
        <w:spacing w:after="0" w:line="240" w:lineRule="auto"/>
      </w:pPr>
      <w:r>
        <w:separator/>
      </w:r>
    </w:p>
  </w:endnote>
  <w:endnote w:type="continuationSeparator" w:id="0">
    <w:p w14:paraId="657C74FD" w14:textId="77777777" w:rsidR="00DE48B2" w:rsidRDefault="00DE48B2" w:rsidP="003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07034"/>
      <w:docPartObj>
        <w:docPartGallery w:val="Page Numbers (Bottom of Page)"/>
        <w:docPartUnique/>
      </w:docPartObj>
    </w:sdtPr>
    <w:sdtEndPr>
      <w:rPr>
        <w:noProof/>
      </w:rPr>
    </w:sdtEndPr>
    <w:sdtContent>
      <w:p w14:paraId="7CE65601" w14:textId="77777777" w:rsidR="003352C5" w:rsidRDefault="003352C5">
        <w:pPr>
          <w:pStyle w:val="Footer"/>
          <w:jc w:val="right"/>
        </w:pPr>
        <w:r>
          <w:fldChar w:fldCharType="begin"/>
        </w:r>
        <w:r>
          <w:instrText xml:space="preserve"> PAGE   \* MERGEFORMAT </w:instrText>
        </w:r>
        <w:r>
          <w:fldChar w:fldCharType="separate"/>
        </w:r>
        <w:r w:rsidR="008B2846">
          <w:rPr>
            <w:noProof/>
          </w:rPr>
          <w:t>1</w:t>
        </w:r>
        <w:r>
          <w:rPr>
            <w:noProof/>
          </w:rPr>
          <w:fldChar w:fldCharType="end"/>
        </w:r>
      </w:p>
    </w:sdtContent>
  </w:sdt>
  <w:p w14:paraId="2B7E65FE" w14:textId="77777777" w:rsidR="003352C5" w:rsidRDefault="00087CA7" w:rsidP="003352C5">
    <w:pPr>
      <w:pStyle w:val="Footer"/>
      <w:jc w:val="center"/>
    </w:pPr>
    <w:r>
      <w:rPr>
        <w:noProof/>
        <w:lang w:eastAsia="en-GB"/>
      </w:rPr>
      <w:drawing>
        <wp:inline distT="0" distB="0" distL="0" distR="0" wp14:anchorId="762D6204" wp14:editId="46162D83">
          <wp:extent cx="571500" cy="807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70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5C7E" w14:textId="77777777" w:rsidR="00087CA7" w:rsidRDefault="00087CA7" w:rsidP="00087CA7">
    <w:pPr>
      <w:pStyle w:val="Footer"/>
      <w:jc w:val="center"/>
    </w:pPr>
    <w:r>
      <w:rPr>
        <w:noProof/>
        <w:lang w:eastAsia="en-GB"/>
      </w:rPr>
      <w:drawing>
        <wp:inline distT="0" distB="0" distL="0" distR="0" wp14:anchorId="60443725" wp14:editId="340466CD">
          <wp:extent cx="642098" cy="9067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98" cy="906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16D6" w14:textId="77777777" w:rsidR="00DE48B2" w:rsidRDefault="00DE48B2" w:rsidP="003352C5">
      <w:pPr>
        <w:spacing w:after="0" w:line="240" w:lineRule="auto"/>
      </w:pPr>
      <w:r>
        <w:separator/>
      </w:r>
    </w:p>
  </w:footnote>
  <w:footnote w:type="continuationSeparator" w:id="0">
    <w:p w14:paraId="55AD0C09" w14:textId="77777777" w:rsidR="00DE48B2" w:rsidRDefault="00DE48B2" w:rsidP="0033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C59" w14:textId="77777777" w:rsidR="003352C5" w:rsidRDefault="003352C5">
    <w:pPr>
      <w:pStyle w:val="Header"/>
    </w:pPr>
    <w:r>
      <w:t>Co</w:t>
    </w:r>
    <w:r w:rsidR="0056112C">
      <w:t>de of Conduct &amp; Whistleblowing Policy</w:t>
    </w:r>
  </w:p>
  <w:p w14:paraId="4BF18F6F" w14:textId="77777777" w:rsidR="003352C5" w:rsidRDefault="0033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B62" w14:textId="77777777" w:rsidR="00087CA7" w:rsidRDefault="008B2846" w:rsidP="00D74CB4">
    <w:pPr>
      <w:pStyle w:val="Header"/>
      <w:jc w:val="center"/>
    </w:pPr>
    <w:r w:rsidRPr="008B2846">
      <w:rPr>
        <w:noProof/>
      </w:rPr>
      <w:drawing>
        <wp:inline distT="0" distB="0" distL="0" distR="0" wp14:anchorId="5BDCD062" wp14:editId="4133189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45486"/>
    <w:multiLevelType w:val="singleLevel"/>
    <w:tmpl w:val="FFFFFFFF"/>
    <w:lvl w:ilvl="0">
      <w:numFmt w:val="decimal"/>
      <w:lvlText w:val="*"/>
      <w:lvlJc w:val="left"/>
    </w:lvl>
  </w:abstractNum>
  <w:abstractNum w:abstractNumId="2" w15:restartNumberingAfterBreak="0">
    <w:nsid w:val="3CA96D94"/>
    <w:multiLevelType w:val="hybridMultilevel"/>
    <w:tmpl w:val="A974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25B06"/>
    <w:multiLevelType w:val="hybridMultilevel"/>
    <w:tmpl w:val="DEE0C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D294F"/>
    <w:multiLevelType w:val="hybridMultilevel"/>
    <w:tmpl w:val="D7E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00E8F"/>
    <w:multiLevelType w:val="singleLevel"/>
    <w:tmpl w:val="FFFFFFFF"/>
    <w:lvl w:ilvl="0">
      <w:numFmt w:val="decimal"/>
      <w:lvlText w:val="*"/>
      <w:lvlJc w:val="left"/>
    </w:lvl>
  </w:abstractNum>
  <w:num w:numId="1">
    <w:abstractNumId w:val="3"/>
  </w:num>
  <w:num w:numId="2">
    <w:abstractNumId w:val="4"/>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C5"/>
    <w:rsid w:val="00087CA7"/>
    <w:rsid w:val="000F2D2F"/>
    <w:rsid w:val="00126496"/>
    <w:rsid w:val="00191ED1"/>
    <w:rsid w:val="0019307A"/>
    <w:rsid w:val="001B440D"/>
    <w:rsid w:val="001D1659"/>
    <w:rsid w:val="001F441E"/>
    <w:rsid w:val="00283196"/>
    <w:rsid w:val="00284BA2"/>
    <w:rsid w:val="002A132C"/>
    <w:rsid w:val="003352C5"/>
    <w:rsid w:val="003A063D"/>
    <w:rsid w:val="003C698A"/>
    <w:rsid w:val="003C7CDD"/>
    <w:rsid w:val="004F33A6"/>
    <w:rsid w:val="0050004F"/>
    <w:rsid w:val="005361F4"/>
    <w:rsid w:val="0056112C"/>
    <w:rsid w:val="00577F8B"/>
    <w:rsid w:val="005F7DEC"/>
    <w:rsid w:val="006856A8"/>
    <w:rsid w:val="006C2EF1"/>
    <w:rsid w:val="0071385D"/>
    <w:rsid w:val="00726468"/>
    <w:rsid w:val="0083163B"/>
    <w:rsid w:val="0086352A"/>
    <w:rsid w:val="008A35F1"/>
    <w:rsid w:val="008B2846"/>
    <w:rsid w:val="008C4633"/>
    <w:rsid w:val="009160F2"/>
    <w:rsid w:val="009341E0"/>
    <w:rsid w:val="009600E6"/>
    <w:rsid w:val="009B1B8E"/>
    <w:rsid w:val="00A2427E"/>
    <w:rsid w:val="00BC45A9"/>
    <w:rsid w:val="00C76884"/>
    <w:rsid w:val="00D379B4"/>
    <w:rsid w:val="00D74CB4"/>
    <w:rsid w:val="00DE48B2"/>
    <w:rsid w:val="00E5251E"/>
    <w:rsid w:val="00E911DC"/>
    <w:rsid w:val="00F00F7A"/>
    <w:rsid w:val="00F2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49E5"/>
  <w15:docId w15:val="{BE3646EC-83B5-4E81-BA5E-540A886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C5"/>
  </w:style>
  <w:style w:type="paragraph" w:styleId="Footer">
    <w:name w:val="footer"/>
    <w:basedOn w:val="Normal"/>
    <w:link w:val="FooterChar"/>
    <w:uiPriority w:val="99"/>
    <w:unhideWhenUsed/>
    <w:rsid w:val="0033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C5"/>
  </w:style>
  <w:style w:type="paragraph" w:styleId="BalloonText">
    <w:name w:val="Balloon Text"/>
    <w:basedOn w:val="Normal"/>
    <w:link w:val="BalloonTextChar"/>
    <w:uiPriority w:val="99"/>
    <w:semiHidden/>
    <w:unhideWhenUsed/>
    <w:rsid w:val="0033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C5"/>
    <w:rPr>
      <w:rFonts w:ascii="Tahoma" w:hAnsi="Tahoma" w:cs="Tahoma"/>
      <w:sz w:val="16"/>
      <w:szCs w:val="16"/>
    </w:rPr>
  </w:style>
  <w:style w:type="paragraph" w:styleId="ListParagraph">
    <w:name w:val="List Paragraph"/>
    <w:basedOn w:val="Normal"/>
    <w:uiPriority w:val="34"/>
    <w:qFormat/>
    <w:rsid w:val="003352C5"/>
    <w:pPr>
      <w:ind w:left="720"/>
      <w:contextualSpacing/>
    </w:pPr>
  </w:style>
  <w:style w:type="paragraph" w:styleId="NoSpacing">
    <w:name w:val="No Spacing"/>
    <w:link w:val="NoSpacingChar"/>
    <w:uiPriority w:val="1"/>
    <w:qFormat/>
    <w:rsid w:val="000F2D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D2F"/>
    <w:rPr>
      <w:rFonts w:eastAsiaTheme="minorEastAsia"/>
      <w:lang w:val="en-US" w:eastAsia="ja-JP"/>
    </w:rPr>
  </w:style>
  <w:style w:type="character" w:styleId="Strong">
    <w:name w:val="Strong"/>
    <w:qFormat/>
    <w:rsid w:val="00577F8B"/>
    <w:rPr>
      <w:b/>
    </w:rPr>
  </w:style>
  <w:style w:type="paragraph" w:customStyle="1" w:styleId="Blockquote">
    <w:name w:val="Blockquote"/>
    <w:basedOn w:val="Normal"/>
    <w:rsid w:val="0056112C"/>
    <w:pPr>
      <w:widowControl w:val="0"/>
      <w:spacing w:before="100" w:after="100" w:line="240" w:lineRule="auto"/>
      <w:ind w:left="360" w:right="360"/>
    </w:pPr>
    <w:rPr>
      <w:rFonts w:ascii="Times New Roman" w:eastAsia="Times New Roman" w:hAnsi="Times New Roman" w:cs="Times New Roman"/>
      <w:snapToGrid w:val="0"/>
      <w:sz w:val="24"/>
      <w:szCs w:val="20"/>
    </w:rPr>
  </w:style>
  <w:style w:type="table" w:styleId="TableGrid">
    <w:name w:val="Table Grid"/>
    <w:basedOn w:val="TableNormal"/>
    <w:uiPriority w:val="59"/>
    <w:rsid w:val="0012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B85D1-6CF6-453B-9292-C7FA64A6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Code of Conduct &amp; Whistleblowing Policy</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Whistleblowing Policy</dc:title>
  <dc:subject>Issue 1 REV 0 11/2015 </dc:subject>
  <dc:creator>Angela Mollan</dc:creator>
  <cp:lastModifiedBy>Chris Mollan</cp:lastModifiedBy>
  <cp:revision>11</cp:revision>
  <cp:lastPrinted>2015-12-01T18:55:00Z</cp:lastPrinted>
  <dcterms:created xsi:type="dcterms:W3CDTF">2017-04-20T16:06:00Z</dcterms:created>
  <dcterms:modified xsi:type="dcterms:W3CDTF">2021-11-17T11:36:00Z</dcterms:modified>
</cp:coreProperties>
</file>