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center" w:tblpY="4609"/>
        <w:tblW w:w="4507" w:type="pct"/>
        <w:tblBorders>
          <w:left w:val="single" w:sz="18" w:space="0" w:color="4F81BD" w:themeColor="accent1"/>
        </w:tblBorders>
        <w:tblLook w:val="04A0" w:firstRow="1" w:lastRow="0" w:firstColumn="1" w:lastColumn="0" w:noHBand="0" w:noVBand="1"/>
      </w:tblPr>
      <w:tblGrid>
        <w:gridCol w:w="8115"/>
      </w:tblGrid>
      <w:tr w:rsidR="00D5437E" w:rsidRPr="006C660F" w14:paraId="3B98AD8B" w14:textId="77777777" w:rsidTr="00C23E87">
        <w:tc>
          <w:tcPr>
            <w:tcW w:w="8330" w:type="dxa"/>
          </w:tcPr>
          <w:p w14:paraId="6EEE0091" w14:textId="3EA4BB2C" w:rsidR="00D5437E" w:rsidRPr="006C660F" w:rsidRDefault="0026347D" w:rsidP="00AD573D">
            <w:pPr>
              <w:pStyle w:val="NoSpacing"/>
              <w:rPr>
                <w:rFonts w:ascii="Arial" w:eastAsiaTheme="majorEastAsia" w:hAnsi="Arial" w:cs="Arial"/>
                <w:color w:val="4F81BD" w:themeColor="accent1"/>
                <w:sz w:val="80"/>
                <w:szCs w:val="80"/>
              </w:rPr>
            </w:pPr>
            <w:r>
              <w:rPr>
                <w:rFonts w:ascii="Arial" w:eastAsiaTheme="majorEastAsia" w:hAnsi="Arial" w:cs="Arial"/>
                <w:b/>
                <w:bCs/>
                <w:color w:val="4F81BD" w:themeColor="accent1"/>
                <w:sz w:val="80"/>
                <w:szCs w:val="80"/>
                <w:lang w:val="en-GB"/>
              </w:rPr>
              <w:t>Appeals</w:t>
            </w:r>
            <w:r w:rsidR="00E3426C">
              <w:rPr>
                <w:rFonts w:ascii="Arial" w:eastAsiaTheme="majorEastAsia" w:hAnsi="Arial" w:cs="Arial"/>
                <w:b/>
                <w:bCs/>
                <w:color w:val="4F81BD" w:themeColor="accent1"/>
                <w:sz w:val="80"/>
                <w:szCs w:val="80"/>
                <w:lang w:val="en-GB"/>
              </w:rPr>
              <w:t xml:space="preserve"> </w:t>
            </w:r>
            <w:r w:rsidR="00C23E87" w:rsidRPr="006C660F">
              <w:rPr>
                <w:rFonts w:ascii="Arial" w:eastAsiaTheme="majorEastAsia" w:hAnsi="Arial" w:cs="Arial"/>
                <w:b/>
                <w:bCs/>
                <w:color w:val="4F81BD" w:themeColor="accent1"/>
                <w:sz w:val="80"/>
                <w:szCs w:val="80"/>
                <w:lang w:val="en-GB"/>
              </w:rPr>
              <w:t>P</w:t>
            </w:r>
            <w:r w:rsidR="00E3426C">
              <w:rPr>
                <w:rFonts w:ascii="Arial" w:eastAsiaTheme="majorEastAsia" w:hAnsi="Arial" w:cs="Arial"/>
                <w:b/>
                <w:bCs/>
                <w:color w:val="4F81BD" w:themeColor="accent1"/>
                <w:sz w:val="80"/>
                <w:szCs w:val="80"/>
                <w:lang w:val="en-GB"/>
              </w:rPr>
              <w:t>olicy for Pearson Edexcel</w:t>
            </w:r>
          </w:p>
        </w:tc>
      </w:tr>
      <w:tr w:rsidR="00D5437E" w:rsidRPr="006C660F" w14:paraId="08A3A3DF" w14:textId="77777777" w:rsidTr="00C23E87">
        <w:sdt>
          <w:sdtPr>
            <w:rPr>
              <w:rFonts w:ascii="Arial" w:eastAsiaTheme="majorEastAsia" w:hAnsi="Arial" w:cs="Arial"/>
            </w:rPr>
            <w:alias w:val="Subtitle"/>
            <w:id w:val="13406923"/>
            <w:showingPlcHdr/>
            <w:dataBinding w:prefixMappings="xmlns:ns0='http://schemas.openxmlformats.org/package/2006/metadata/core-properties' xmlns:ns1='http://purl.org/dc/elements/1.1/'" w:xpath="/ns0:coreProperties[1]/ns1:subject[1]" w:storeItemID="{6C3C8BC8-F283-45AE-878A-BAB7291924A1}"/>
            <w:text/>
          </w:sdtPr>
          <w:sdtEndPr/>
          <w:sdtContent>
            <w:tc>
              <w:tcPr>
                <w:tcW w:w="8330" w:type="dxa"/>
                <w:tcMar>
                  <w:top w:w="216" w:type="dxa"/>
                  <w:left w:w="115" w:type="dxa"/>
                  <w:bottom w:w="216" w:type="dxa"/>
                  <w:right w:w="115" w:type="dxa"/>
                </w:tcMar>
              </w:tcPr>
              <w:p w14:paraId="6B467281" w14:textId="77777777" w:rsidR="00D5437E" w:rsidRPr="006C660F" w:rsidRDefault="00D5437E" w:rsidP="00155DA1">
                <w:pPr>
                  <w:pStyle w:val="NoSpacing"/>
                  <w:rPr>
                    <w:rFonts w:ascii="Arial" w:eastAsiaTheme="majorEastAsia" w:hAnsi="Arial" w:cs="Arial"/>
                  </w:rPr>
                </w:pPr>
                <w:r w:rsidRPr="006C660F">
                  <w:rPr>
                    <w:rFonts w:ascii="Arial" w:eastAsiaTheme="majorEastAsia" w:hAnsi="Arial" w:cs="Arial"/>
                  </w:rPr>
                  <w:t xml:space="preserve">     </w:t>
                </w:r>
              </w:p>
            </w:tc>
          </w:sdtContent>
        </w:sdt>
      </w:tr>
    </w:tbl>
    <w:p w14:paraId="08D24FCC" w14:textId="77777777" w:rsidR="0062256C" w:rsidRPr="006C660F" w:rsidRDefault="0062256C" w:rsidP="0062256C">
      <w:pPr>
        <w:autoSpaceDE w:val="0"/>
        <w:autoSpaceDN w:val="0"/>
        <w:adjustRightInd w:val="0"/>
        <w:spacing w:after="0" w:line="240" w:lineRule="auto"/>
        <w:rPr>
          <w:rFonts w:ascii="Arial" w:hAnsi="Arial" w:cs="Arial"/>
          <w:sz w:val="24"/>
          <w:szCs w:val="24"/>
        </w:rPr>
      </w:pPr>
    </w:p>
    <w:p w14:paraId="074BF7EA"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8728555" w14:textId="00FAA0A8" w:rsidR="00D5437E" w:rsidRPr="006C660F" w:rsidRDefault="00E3426C" w:rsidP="00E3426C">
      <w:pPr>
        <w:autoSpaceDE w:val="0"/>
        <w:autoSpaceDN w:val="0"/>
        <w:adjustRightInd w:val="0"/>
        <w:spacing w:after="0" w:line="240" w:lineRule="auto"/>
        <w:jc w:val="center"/>
        <w:rPr>
          <w:rFonts w:ascii="Arial" w:hAnsi="Arial" w:cs="Arial"/>
          <w:sz w:val="24"/>
          <w:szCs w:val="24"/>
        </w:rPr>
      </w:pPr>
      <w:r w:rsidRPr="00E3426C">
        <w:rPr>
          <w:rFonts w:ascii="Arial" w:hAnsi="Arial" w:cs="Arial"/>
          <w:noProof/>
          <w:sz w:val="24"/>
          <w:szCs w:val="24"/>
        </w:rPr>
        <w:drawing>
          <wp:inline distT="0" distB="0" distL="0" distR="0" wp14:anchorId="29F20767" wp14:editId="4512C100">
            <wp:extent cx="1258669" cy="840740"/>
            <wp:effectExtent l="0" t="0" r="0" b="0"/>
            <wp:docPr id="2" name="Picture 2"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p w14:paraId="2C71BFA2"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22D174B5"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587708D6" w14:textId="77777777" w:rsidR="00D5437E" w:rsidRPr="006C660F" w:rsidRDefault="00D5437E" w:rsidP="0062256C">
      <w:pPr>
        <w:autoSpaceDE w:val="0"/>
        <w:autoSpaceDN w:val="0"/>
        <w:adjustRightInd w:val="0"/>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095"/>
        <w:gridCol w:w="3921"/>
      </w:tblGrid>
      <w:tr w:rsidR="009A5C36" w:rsidRPr="006C660F" w14:paraId="766B6D80" w14:textId="77777777" w:rsidTr="00155DA1">
        <w:tc>
          <w:tcPr>
            <w:tcW w:w="9242" w:type="dxa"/>
            <w:gridSpan w:val="2"/>
          </w:tcPr>
          <w:p w14:paraId="699AE5B6" w14:textId="77777777" w:rsidR="009A5C36" w:rsidRPr="006C660F" w:rsidRDefault="009A5C36" w:rsidP="00155DA1">
            <w:pPr>
              <w:jc w:val="center"/>
              <w:rPr>
                <w:rFonts w:ascii="Arial" w:hAnsi="Arial" w:cs="Arial"/>
                <w:b/>
                <w:sz w:val="28"/>
                <w:szCs w:val="28"/>
              </w:rPr>
            </w:pPr>
            <w:r w:rsidRPr="006C660F">
              <w:rPr>
                <w:rFonts w:ascii="Arial" w:hAnsi="Arial" w:cs="Arial"/>
                <w:b/>
                <w:color w:val="31849B" w:themeColor="accent5" w:themeShade="BF"/>
                <w:sz w:val="24"/>
                <w:szCs w:val="24"/>
              </w:rPr>
              <w:br w:type="page"/>
            </w:r>
            <w:r w:rsidRPr="006C660F">
              <w:rPr>
                <w:rFonts w:ascii="Arial" w:hAnsi="Arial" w:cs="Arial"/>
                <w:b/>
                <w:sz w:val="28"/>
                <w:szCs w:val="28"/>
              </w:rPr>
              <w:t xml:space="preserve">Policy Title </w:t>
            </w:r>
          </w:p>
        </w:tc>
      </w:tr>
      <w:tr w:rsidR="009A5C36" w:rsidRPr="006C660F" w14:paraId="597296A7" w14:textId="77777777" w:rsidTr="00155DA1">
        <w:tc>
          <w:tcPr>
            <w:tcW w:w="9242" w:type="dxa"/>
            <w:gridSpan w:val="2"/>
          </w:tcPr>
          <w:p w14:paraId="1254C768" w14:textId="7B906692" w:rsidR="009A5C36" w:rsidRPr="006C660F" w:rsidRDefault="0026347D" w:rsidP="00336597">
            <w:pPr>
              <w:jc w:val="center"/>
              <w:rPr>
                <w:rFonts w:ascii="Arial" w:hAnsi="Arial" w:cs="Arial"/>
                <w:b/>
                <w:sz w:val="32"/>
                <w:szCs w:val="32"/>
              </w:rPr>
            </w:pPr>
            <w:r>
              <w:rPr>
                <w:rFonts w:ascii="Arial" w:hAnsi="Arial" w:cs="Arial"/>
                <w:b/>
                <w:bCs/>
                <w:sz w:val="32"/>
                <w:szCs w:val="32"/>
              </w:rPr>
              <w:t>Appeals</w:t>
            </w:r>
            <w:r w:rsidR="00E3426C">
              <w:rPr>
                <w:rFonts w:ascii="Arial" w:hAnsi="Arial" w:cs="Arial"/>
                <w:b/>
                <w:bCs/>
                <w:sz w:val="32"/>
                <w:szCs w:val="32"/>
              </w:rPr>
              <w:t xml:space="preserve"> Policy For Pearson Edexcel</w:t>
            </w:r>
          </w:p>
        </w:tc>
      </w:tr>
      <w:tr w:rsidR="009A5C36" w:rsidRPr="006C660F" w14:paraId="4D2DB761" w14:textId="77777777" w:rsidTr="00155DA1">
        <w:tc>
          <w:tcPr>
            <w:tcW w:w="5211" w:type="dxa"/>
          </w:tcPr>
          <w:p w14:paraId="1C0A7583" w14:textId="77777777" w:rsidR="009A5C36" w:rsidRPr="006C660F" w:rsidRDefault="009A5C36" w:rsidP="00155DA1">
            <w:pPr>
              <w:rPr>
                <w:rFonts w:ascii="Arial" w:hAnsi="Arial" w:cs="Arial"/>
                <w:sz w:val="28"/>
                <w:szCs w:val="28"/>
              </w:rPr>
            </w:pPr>
            <w:r w:rsidRPr="006C660F">
              <w:rPr>
                <w:rFonts w:ascii="Arial" w:hAnsi="Arial" w:cs="Arial"/>
                <w:sz w:val="28"/>
                <w:szCs w:val="28"/>
              </w:rPr>
              <w:t>Version Number</w:t>
            </w:r>
          </w:p>
        </w:tc>
        <w:tc>
          <w:tcPr>
            <w:tcW w:w="4031" w:type="dxa"/>
          </w:tcPr>
          <w:p w14:paraId="584AEB32" w14:textId="4E384D02" w:rsidR="009A5C36" w:rsidRPr="006C660F" w:rsidRDefault="009A5C36" w:rsidP="00155DA1">
            <w:pPr>
              <w:jc w:val="center"/>
              <w:rPr>
                <w:rFonts w:ascii="Arial" w:hAnsi="Arial" w:cs="Arial"/>
                <w:sz w:val="28"/>
                <w:szCs w:val="28"/>
              </w:rPr>
            </w:pPr>
            <w:r w:rsidRPr="006C660F">
              <w:rPr>
                <w:rFonts w:ascii="Arial" w:hAnsi="Arial" w:cs="Arial"/>
                <w:sz w:val="28"/>
                <w:szCs w:val="28"/>
              </w:rPr>
              <w:t>1.</w:t>
            </w:r>
            <w:r w:rsidR="005D4EAE">
              <w:rPr>
                <w:rFonts w:ascii="Arial" w:hAnsi="Arial" w:cs="Arial"/>
                <w:sz w:val="28"/>
                <w:szCs w:val="28"/>
              </w:rPr>
              <w:t>1</w:t>
            </w:r>
          </w:p>
        </w:tc>
      </w:tr>
      <w:tr w:rsidR="009A5C36" w:rsidRPr="006C660F" w14:paraId="015B27CA" w14:textId="77777777" w:rsidTr="00155DA1">
        <w:tc>
          <w:tcPr>
            <w:tcW w:w="5211" w:type="dxa"/>
          </w:tcPr>
          <w:p w14:paraId="6DE0D263" w14:textId="77777777" w:rsidR="009A5C36" w:rsidRPr="006C660F" w:rsidRDefault="009A5C36" w:rsidP="00155DA1">
            <w:pPr>
              <w:rPr>
                <w:rFonts w:ascii="Arial" w:hAnsi="Arial" w:cs="Arial"/>
                <w:sz w:val="28"/>
                <w:szCs w:val="28"/>
              </w:rPr>
            </w:pPr>
            <w:r w:rsidRPr="006C660F">
              <w:rPr>
                <w:rFonts w:ascii="Arial" w:hAnsi="Arial" w:cs="Arial"/>
                <w:sz w:val="28"/>
                <w:szCs w:val="28"/>
              </w:rPr>
              <w:t>Policy Implementation Date</w:t>
            </w:r>
          </w:p>
        </w:tc>
        <w:tc>
          <w:tcPr>
            <w:tcW w:w="4031" w:type="dxa"/>
          </w:tcPr>
          <w:p w14:paraId="64F40B1C" w14:textId="6350ECF7"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5D4EAE">
              <w:rPr>
                <w:rFonts w:ascii="Arial" w:hAnsi="Arial" w:cs="Arial"/>
                <w:sz w:val="28"/>
                <w:szCs w:val="28"/>
              </w:rPr>
              <w:t>2</w:t>
            </w:r>
            <w:r w:rsidR="00E3426C">
              <w:rPr>
                <w:rFonts w:ascii="Arial" w:hAnsi="Arial" w:cs="Arial"/>
                <w:sz w:val="28"/>
                <w:szCs w:val="28"/>
              </w:rPr>
              <w:t>1</w:t>
            </w:r>
          </w:p>
        </w:tc>
      </w:tr>
      <w:tr w:rsidR="009A5C36" w:rsidRPr="006C660F" w14:paraId="27802406" w14:textId="77777777" w:rsidTr="00155DA1">
        <w:tc>
          <w:tcPr>
            <w:tcW w:w="5211" w:type="dxa"/>
          </w:tcPr>
          <w:p w14:paraId="2112121A" w14:textId="77777777" w:rsidR="009A5C36" w:rsidRPr="006C660F" w:rsidRDefault="009A5C36" w:rsidP="00155DA1">
            <w:pPr>
              <w:rPr>
                <w:rFonts w:ascii="Arial" w:hAnsi="Arial" w:cs="Arial"/>
                <w:sz w:val="28"/>
                <w:szCs w:val="28"/>
              </w:rPr>
            </w:pPr>
            <w:r w:rsidRPr="006C660F">
              <w:rPr>
                <w:rFonts w:ascii="Arial" w:hAnsi="Arial" w:cs="Arial"/>
                <w:sz w:val="28"/>
                <w:szCs w:val="28"/>
              </w:rPr>
              <w:t>Peregrinate Policy Manager</w:t>
            </w:r>
          </w:p>
        </w:tc>
        <w:tc>
          <w:tcPr>
            <w:tcW w:w="4031" w:type="dxa"/>
          </w:tcPr>
          <w:p w14:paraId="4D4D3F3F"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 Chris Mollan</w:t>
            </w:r>
          </w:p>
        </w:tc>
      </w:tr>
      <w:tr w:rsidR="009A5C36" w:rsidRPr="006C660F" w14:paraId="0577A91C" w14:textId="77777777" w:rsidTr="00155DA1">
        <w:tc>
          <w:tcPr>
            <w:tcW w:w="5211" w:type="dxa"/>
          </w:tcPr>
          <w:p w14:paraId="79F2CAF3" w14:textId="77777777" w:rsidR="009A5C36" w:rsidRPr="006C660F" w:rsidRDefault="009A5C36" w:rsidP="00155DA1">
            <w:pPr>
              <w:rPr>
                <w:rFonts w:ascii="Arial" w:hAnsi="Arial" w:cs="Arial"/>
                <w:sz w:val="28"/>
                <w:szCs w:val="28"/>
              </w:rPr>
            </w:pPr>
            <w:r w:rsidRPr="006C660F">
              <w:rPr>
                <w:rFonts w:ascii="Arial" w:hAnsi="Arial" w:cs="Arial"/>
                <w:sz w:val="28"/>
                <w:szCs w:val="28"/>
              </w:rPr>
              <w:t>Approved by Senior Management</w:t>
            </w:r>
          </w:p>
        </w:tc>
        <w:tc>
          <w:tcPr>
            <w:tcW w:w="4031" w:type="dxa"/>
          </w:tcPr>
          <w:p w14:paraId="7260C522" w14:textId="04BAD3A4"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w:t>
            </w:r>
            <w:r w:rsidR="005D4EAE">
              <w:rPr>
                <w:rFonts w:ascii="Arial" w:hAnsi="Arial" w:cs="Arial"/>
                <w:sz w:val="28"/>
                <w:szCs w:val="28"/>
              </w:rPr>
              <w:t>2</w:t>
            </w:r>
            <w:r w:rsidR="00E3426C">
              <w:rPr>
                <w:rFonts w:ascii="Arial" w:hAnsi="Arial" w:cs="Arial"/>
                <w:sz w:val="28"/>
                <w:szCs w:val="28"/>
              </w:rPr>
              <w:t>1</w:t>
            </w:r>
          </w:p>
        </w:tc>
      </w:tr>
      <w:tr w:rsidR="009A5C36" w:rsidRPr="006C660F" w14:paraId="3081040D" w14:textId="77777777" w:rsidTr="00155DA1">
        <w:tc>
          <w:tcPr>
            <w:tcW w:w="5211" w:type="dxa"/>
          </w:tcPr>
          <w:p w14:paraId="5A9F3F1B" w14:textId="77777777" w:rsidR="009A5C36" w:rsidRPr="006C660F" w:rsidRDefault="009A5C36" w:rsidP="00155DA1">
            <w:pPr>
              <w:rPr>
                <w:rFonts w:ascii="Arial" w:hAnsi="Arial" w:cs="Arial"/>
                <w:sz w:val="28"/>
                <w:szCs w:val="28"/>
              </w:rPr>
            </w:pPr>
            <w:r w:rsidRPr="006C660F">
              <w:rPr>
                <w:rFonts w:ascii="Arial" w:hAnsi="Arial" w:cs="Arial"/>
                <w:sz w:val="28"/>
                <w:szCs w:val="28"/>
              </w:rPr>
              <w:t>Approving Signature</w:t>
            </w:r>
          </w:p>
        </w:tc>
        <w:tc>
          <w:tcPr>
            <w:tcW w:w="4031" w:type="dxa"/>
          </w:tcPr>
          <w:p w14:paraId="2A44E7E5" w14:textId="77777777" w:rsidR="009A5C36" w:rsidRPr="006C660F" w:rsidRDefault="009A5C36" w:rsidP="00155DA1">
            <w:pPr>
              <w:jc w:val="center"/>
              <w:rPr>
                <w:rFonts w:ascii="Arial" w:hAnsi="Arial" w:cs="Arial"/>
                <w:sz w:val="28"/>
                <w:szCs w:val="28"/>
              </w:rPr>
            </w:pPr>
            <w:r w:rsidRPr="006C660F">
              <w:rPr>
                <w:rFonts w:ascii="Arial" w:hAnsi="Arial" w:cs="Arial"/>
                <w:sz w:val="28"/>
                <w:szCs w:val="28"/>
              </w:rPr>
              <w:t>Angela Mollan</w:t>
            </w:r>
          </w:p>
        </w:tc>
      </w:tr>
      <w:tr w:rsidR="009A5C36" w:rsidRPr="006C660F" w14:paraId="12F5B918" w14:textId="77777777" w:rsidTr="00155DA1">
        <w:tc>
          <w:tcPr>
            <w:tcW w:w="5211" w:type="dxa"/>
          </w:tcPr>
          <w:p w14:paraId="6085219D" w14:textId="77777777" w:rsidR="009A5C36" w:rsidRPr="006C660F" w:rsidRDefault="009A5C36" w:rsidP="00155DA1">
            <w:pPr>
              <w:rPr>
                <w:rFonts w:ascii="Arial" w:hAnsi="Arial" w:cs="Arial"/>
                <w:sz w:val="28"/>
                <w:szCs w:val="28"/>
              </w:rPr>
            </w:pPr>
            <w:r w:rsidRPr="006C660F">
              <w:rPr>
                <w:rFonts w:ascii="Arial" w:hAnsi="Arial" w:cs="Arial"/>
                <w:sz w:val="28"/>
                <w:szCs w:val="28"/>
              </w:rPr>
              <w:t>Policy Review Date</w:t>
            </w:r>
          </w:p>
        </w:tc>
        <w:tc>
          <w:tcPr>
            <w:tcW w:w="4031" w:type="dxa"/>
          </w:tcPr>
          <w:p w14:paraId="6E677B65" w14:textId="115563DD" w:rsidR="009A5C36" w:rsidRPr="006C660F" w:rsidRDefault="009A5C36" w:rsidP="00155DA1">
            <w:pPr>
              <w:jc w:val="center"/>
              <w:rPr>
                <w:rFonts w:ascii="Arial" w:hAnsi="Arial" w:cs="Arial"/>
                <w:sz w:val="28"/>
                <w:szCs w:val="28"/>
              </w:rPr>
            </w:pPr>
            <w:r w:rsidRPr="006C660F">
              <w:rPr>
                <w:rFonts w:ascii="Arial" w:hAnsi="Arial" w:cs="Arial"/>
                <w:sz w:val="28"/>
                <w:szCs w:val="28"/>
              </w:rPr>
              <w:t xml:space="preserve">01 </w:t>
            </w:r>
            <w:r w:rsidR="00E3426C">
              <w:rPr>
                <w:rFonts w:ascii="Arial" w:hAnsi="Arial" w:cs="Arial"/>
                <w:sz w:val="28"/>
                <w:szCs w:val="28"/>
              </w:rPr>
              <w:t>JAN 202</w:t>
            </w:r>
            <w:r w:rsidR="005D4EAE">
              <w:rPr>
                <w:rFonts w:ascii="Arial" w:hAnsi="Arial" w:cs="Arial"/>
                <w:sz w:val="28"/>
                <w:szCs w:val="28"/>
              </w:rPr>
              <w:t>4</w:t>
            </w:r>
          </w:p>
        </w:tc>
      </w:tr>
    </w:tbl>
    <w:p w14:paraId="77CA9AAB"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29C80DE"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39088A1C" w14:textId="042BAD79" w:rsidR="00D5437E" w:rsidRPr="006C660F" w:rsidRDefault="00D5437E" w:rsidP="0062256C">
      <w:pPr>
        <w:autoSpaceDE w:val="0"/>
        <w:autoSpaceDN w:val="0"/>
        <w:adjustRightInd w:val="0"/>
        <w:spacing w:after="0" w:line="240" w:lineRule="auto"/>
        <w:rPr>
          <w:rFonts w:ascii="Arial" w:hAnsi="Arial" w:cs="Arial"/>
          <w:sz w:val="24"/>
          <w:szCs w:val="24"/>
        </w:rPr>
      </w:pPr>
    </w:p>
    <w:p w14:paraId="17A7164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000DC3C3" w14:textId="77777777" w:rsidR="00D5437E" w:rsidRPr="006C660F" w:rsidRDefault="00D5437E" w:rsidP="0062256C">
      <w:pPr>
        <w:autoSpaceDE w:val="0"/>
        <w:autoSpaceDN w:val="0"/>
        <w:adjustRightInd w:val="0"/>
        <w:spacing w:after="0" w:line="240" w:lineRule="auto"/>
        <w:rPr>
          <w:rFonts w:ascii="Arial" w:hAnsi="Arial" w:cs="Arial"/>
          <w:sz w:val="24"/>
          <w:szCs w:val="24"/>
        </w:rPr>
      </w:pPr>
    </w:p>
    <w:p w14:paraId="2B1BC4E4" w14:textId="0B9D3468" w:rsidR="00D5437E" w:rsidRDefault="00D5437E" w:rsidP="0062256C">
      <w:pPr>
        <w:autoSpaceDE w:val="0"/>
        <w:autoSpaceDN w:val="0"/>
        <w:adjustRightInd w:val="0"/>
        <w:spacing w:after="0" w:line="240" w:lineRule="auto"/>
        <w:rPr>
          <w:rFonts w:ascii="Arial" w:hAnsi="Arial" w:cs="Arial"/>
          <w:sz w:val="24"/>
          <w:szCs w:val="24"/>
        </w:rPr>
      </w:pPr>
    </w:p>
    <w:p w14:paraId="28F03C9E" w14:textId="23525424" w:rsidR="00822FC4" w:rsidRDefault="00822FC4" w:rsidP="0062256C">
      <w:pPr>
        <w:autoSpaceDE w:val="0"/>
        <w:autoSpaceDN w:val="0"/>
        <w:adjustRightInd w:val="0"/>
        <w:spacing w:after="0" w:line="240" w:lineRule="auto"/>
        <w:rPr>
          <w:rFonts w:ascii="Arial" w:hAnsi="Arial" w:cs="Arial"/>
          <w:sz w:val="24"/>
          <w:szCs w:val="24"/>
        </w:rPr>
      </w:pPr>
    </w:p>
    <w:p w14:paraId="28729B48" w14:textId="4FBBE775" w:rsidR="00822FC4" w:rsidRDefault="00822FC4" w:rsidP="0062256C">
      <w:pPr>
        <w:autoSpaceDE w:val="0"/>
        <w:autoSpaceDN w:val="0"/>
        <w:adjustRightInd w:val="0"/>
        <w:spacing w:after="0" w:line="240" w:lineRule="auto"/>
        <w:rPr>
          <w:rFonts w:ascii="Arial" w:hAnsi="Arial" w:cs="Arial"/>
          <w:sz w:val="24"/>
          <w:szCs w:val="24"/>
        </w:rPr>
      </w:pPr>
    </w:p>
    <w:p w14:paraId="76AB4639" w14:textId="23B1E6EE" w:rsidR="00822FC4" w:rsidRDefault="00822FC4" w:rsidP="0062256C">
      <w:pPr>
        <w:autoSpaceDE w:val="0"/>
        <w:autoSpaceDN w:val="0"/>
        <w:adjustRightInd w:val="0"/>
        <w:spacing w:after="0" w:line="240" w:lineRule="auto"/>
        <w:rPr>
          <w:rFonts w:ascii="Arial" w:hAnsi="Arial" w:cs="Arial"/>
          <w:sz w:val="24"/>
          <w:szCs w:val="24"/>
        </w:rPr>
      </w:pPr>
    </w:p>
    <w:p w14:paraId="56B48F5D" w14:textId="77777777" w:rsidR="005C05C0" w:rsidRDefault="00822FC4" w:rsidP="005C05C0">
      <w:pPr>
        <w:pStyle w:val="Heading1"/>
      </w:pPr>
      <w:r>
        <w:lastRenderedPageBreak/>
        <w:t xml:space="preserve">Appeals Policy </w:t>
      </w:r>
    </w:p>
    <w:p w14:paraId="02DE9757" w14:textId="77777777" w:rsidR="005C05C0" w:rsidRDefault="005C05C0" w:rsidP="00822FC4"/>
    <w:p w14:paraId="04DC8DA0" w14:textId="77777777" w:rsidR="005C05C0" w:rsidRDefault="00822FC4" w:rsidP="005C05C0">
      <w:pPr>
        <w:pStyle w:val="Heading2"/>
      </w:pPr>
      <w:r>
        <w:t xml:space="preserve">Aim: </w:t>
      </w:r>
    </w:p>
    <w:p w14:paraId="428226F2" w14:textId="77777777" w:rsidR="005C05C0" w:rsidRPr="00574147" w:rsidRDefault="005C05C0" w:rsidP="00822FC4">
      <w:pPr>
        <w:rPr>
          <w:sz w:val="28"/>
          <w:szCs w:val="28"/>
        </w:rPr>
      </w:pPr>
    </w:p>
    <w:p w14:paraId="52ABFA96" w14:textId="77777777" w:rsidR="005C05C0" w:rsidRPr="00574147" w:rsidRDefault="00822FC4" w:rsidP="00574147">
      <w:pPr>
        <w:ind w:left="720" w:hanging="720"/>
        <w:rPr>
          <w:sz w:val="28"/>
          <w:szCs w:val="28"/>
        </w:rPr>
      </w:pPr>
      <w:r w:rsidRPr="00574147">
        <w:rPr>
          <w:sz w:val="28"/>
          <w:szCs w:val="28"/>
        </w:rPr>
        <w:t xml:space="preserve">1. </w:t>
      </w:r>
      <w:r w:rsidR="005C05C0" w:rsidRPr="00574147">
        <w:rPr>
          <w:sz w:val="28"/>
          <w:szCs w:val="28"/>
        </w:rPr>
        <w:tab/>
      </w:r>
      <w:r w:rsidRPr="00574147">
        <w:rPr>
          <w:sz w:val="28"/>
          <w:szCs w:val="28"/>
        </w:rPr>
        <w:t xml:space="preserve">To enable the learner to enquire, question or appeal against an assessment decision </w:t>
      </w:r>
    </w:p>
    <w:p w14:paraId="31783A65" w14:textId="77777777" w:rsidR="005C05C0" w:rsidRPr="00574147" w:rsidRDefault="00822FC4" w:rsidP="005C05C0">
      <w:pPr>
        <w:ind w:left="720" w:hanging="720"/>
        <w:rPr>
          <w:sz w:val="28"/>
          <w:szCs w:val="28"/>
        </w:rPr>
      </w:pPr>
      <w:r w:rsidRPr="00574147">
        <w:rPr>
          <w:sz w:val="28"/>
          <w:szCs w:val="28"/>
        </w:rPr>
        <w:t xml:space="preserve">2. </w:t>
      </w:r>
      <w:r w:rsidR="005C05C0" w:rsidRPr="00574147">
        <w:rPr>
          <w:sz w:val="28"/>
          <w:szCs w:val="28"/>
        </w:rPr>
        <w:tab/>
      </w:r>
      <w:r w:rsidRPr="00574147">
        <w:rPr>
          <w:sz w:val="28"/>
          <w:szCs w:val="28"/>
        </w:rPr>
        <w:t xml:space="preserve">To attempt to reach agreement between the learner and the Assessor at the earliest opportunity </w:t>
      </w:r>
    </w:p>
    <w:p w14:paraId="167D6396" w14:textId="77777777" w:rsidR="005C05C0" w:rsidRPr="00574147" w:rsidRDefault="00822FC4" w:rsidP="00822FC4">
      <w:pPr>
        <w:rPr>
          <w:sz w:val="28"/>
          <w:szCs w:val="28"/>
        </w:rPr>
      </w:pPr>
      <w:r w:rsidRPr="00574147">
        <w:rPr>
          <w:sz w:val="28"/>
          <w:szCs w:val="28"/>
        </w:rPr>
        <w:t xml:space="preserve">3. </w:t>
      </w:r>
      <w:r w:rsidR="005C05C0" w:rsidRPr="00574147">
        <w:rPr>
          <w:sz w:val="28"/>
          <w:szCs w:val="28"/>
        </w:rPr>
        <w:tab/>
      </w:r>
      <w:r w:rsidRPr="00574147">
        <w:rPr>
          <w:sz w:val="28"/>
          <w:szCs w:val="28"/>
        </w:rPr>
        <w:t xml:space="preserve">To standardise and record any appeal to ensure openness and fairness </w:t>
      </w:r>
    </w:p>
    <w:p w14:paraId="45AD1D92" w14:textId="77777777" w:rsidR="005C05C0" w:rsidRPr="00574147" w:rsidRDefault="00822FC4" w:rsidP="005C05C0">
      <w:pPr>
        <w:ind w:left="720" w:hanging="720"/>
        <w:rPr>
          <w:sz w:val="28"/>
          <w:szCs w:val="28"/>
        </w:rPr>
      </w:pPr>
      <w:r w:rsidRPr="00574147">
        <w:rPr>
          <w:sz w:val="28"/>
          <w:szCs w:val="28"/>
        </w:rPr>
        <w:t xml:space="preserve">4. </w:t>
      </w:r>
      <w:r w:rsidR="005C05C0" w:rsidRPr="00574147">
        <w:rPr>
          <w:sz w:val="28"/>
          <w:szCs w:val="28"/>
        </w:rPr>
        <w:tab/>
      </w:r>
      <w:r w:rsidRPr="00574147">
        <w:rPr>
          <w:sz w:val="28"/>
          <w:szCs w:val="28"/>
        </w:rPr>
        <w:t xml:space="preserve">To facilitate a learner’s ultimate right of appeal to the Awarding Body and the Office of the Independent Adjudicator (BTEC Level 4-Level 7), where appropriate </w:t>
      </w:r>
    </w:p>
    <w:p w14:paraId="102A8DFF" w14:textId="77777777" w:rsidR="005C05C0" w:rsidRPr="00574147" w:rsidRDefault="00822FC4" w:rsidP="005C05C0">
      <w:pPr>
        <w:ind w:left="720" w:hanging="720"/>
        <w:rPr>
          <w:sz w:val="28"/>
          <w:szCs w:val="28"/>
        </w:rPr>
      </w:pPr>
      <w:r w:rsidRPr="00574147">
        <w:rPr>
          <w:sz w:val="28"/>
          <w:szCs w:val="28"/>
        </w:rPr>
        <w:t xml:space="preserve">5. </w:t>
      </w:r>
      <w:r w:rsidR="005C05C0" w:rsidRPr="00574147">
        <w:rPr>
          <w:sz w:val="28"/>
          <w:szCs w:val="28"/>
        </w:rPr>
        <w:tab/>
      </w:r>
      <w:r w:rsidRPr="00574147">
        <w:rPr>
          <w:sz w:val="28"/>
          <w:szCs w:val="28"/>
        </w:rPr>
        <w:t xml:space="preserve">To protect the interests of all learners and the integrity of the qualification. In order to do this, </w:t>
      </w:r>
      <w:r w:rsidR="005C05C0" w:rsidRPr="00574147">
        <w:rPr>
          <w:sz w:val="28"/>
          <w:szCs w:val="28"/>
        </w:rPr>
        <w:t>Peregrinate Ltd.</w:t>
      </w:r>
      <w:r w:rsidRPr="00574147">
        <w:rPr>
          <w:sz w:val="28"/>
          <w:szCs w:val="28"/>
        </w:rPr>
        <w:t xml:space="preserve"> will: </w:t>
      </w:r>
    </w:p>
    <w:p w14:paraId="562B5474" w14:textId="77777777" w:rsidR="005C05C0" w:rsidRPr="00574147" w:rsidRDefault="00822FC4" w:rsidP="00822FC4">
      <w:pPr>
        <w:rPr>
          <w:sz w:val="28"/>
          <w:szCs w:val="28"/>
        </w:rPr>
      </w:pPr>
      <w:r w:rsidRPr="00574147">
        <w:rPr>
          <w:sz w:val="28"/>
          <w:szCs w:val="28"/>
        </w:rPr>
        <w:t xml:space="preserve">• </w:t>
      </w:r>
      <w:r w:rsidR="005C05C0" w:rsidRPr="00574147">
        <w:rPr>
          <w:sz w:val="28"/>
          <w:szCs w:val="28"/>
        </w:rPr>
        <w:tab/>
      </w:r>
      <w:r w:rsidRPr="00574147">
        <w:rPr>
          <w:sz w:val="28"/>
          <w:szCs w:val="28"/>
        </w:rPr>
        <w:t xml:space="preserve">Inform the learner at induction, of the Appeals Policy and procedure </w:t>
      </w:r>
    </w:p>
    <w:p w14:paraId="624642F8" w14:textId="77777777" w:rsidR="005C05C0" w:rsidRPr="00574147" w:rsidRDefault="00822FC4" w:rsidP="00822FC4">
      <w:pPr>
        <w:rPr>
          <w:sz w:val="28"/>
          <w:szCs w:val="28"/>
        </w:rPr>
      </w:pPr>
      <w:r w:rsidRPr="00574147">
        <w:rPr>
          <w:sz w:val="28"/>
          <w:szCs w:val="28"/>
        </w:rPr>
        <w:t xml:space="preserve">• </w:t>
      </w:r>
      <w:r w:rsidR="005C05C0" w:rsidRPr="00574147">
        <w:rPr>
          <w:sz w:val="28"/>
          <w:szCs w:val="28"/>
        </w:rPr>
        <w:tab/>
      </w:r>
      <w:r w:rsidRPr="00574147">
        <w:rPr>
          <w:sz w:val="28"/>
          <w:szCs w:val="28"/>
        </w:rPr>
        <w:t xml:space="preserve">Record, track and validate any appeal </w:t>
      </w:r>
    </w:p>
    <w:p w14:paraId="2D34D28F" w14:textId="77777777" w:rsidR="005C05C0" w:rsidRPr="00574147" w:rsidRDefault="00822FC4" w:rsidP="005C05C0">
      <w:pPr>
        <w:ind w:left="720" w:hanging="720"/>
        <w:rPr>
          <w:sz w:val="28"/>
          <w:szCs w:val="28"/>
        </w:rPr>
      </w:pPr>
      <w:r w:rsidRPr="00574147">
        <w:rPr>
          <w:sz w:val="28"/>
          <w:szCs w:val="28"/>
        </w:rPr>
        <w:t xml:space="preserve">• </w:t>
      </w:r>
      <w:r w:rsidR="005C05C0" w:rsidRPr="00574147">
        <w:rPr>
          <w:sz w:val="28"/>
          <w:szCs w:val="28"/>
        </w:rPr>
        <w:tab/>
      </w:r>
      <w:r w:rsidRPr="00574147">
        <w:rPr>
          <w:sz w:val="28"/>
          <w:szCs w:val="28"/>
        </w:rPr>
        <w:t xml:space="preserve">Forward the appeal to the Awarding Body when a learner considers that a decision continues to disadvantage her/him after the internal appeals process has been exhausted </w:t>
      </w:r>
    </w:p>
    <w:p w14:paraId="053DAC3F" w14:textId="77777777" w:rsidR="005C05C0" w:rsidRPr="00574147" w:rsidRDefault="00822FC4" w:rsidP="00574147">
      <w:pPr>
        <w:ind w:left="720" w:hanging="720"/>
        <w:rPr>
          <w:sz w:val="28"/>
          <w:szCs w:val="28"/>
        </w:rPr>
      </w:pPr>
      <w:r w:rsidRPr="00574147">
        <w:rPr>
          <w:sz w:val="28"/>
          <w:szCs w:val="28"/>
        </w:rPr>
        <w:t>•</w:t>
      </w:r>
      <w:r w:rsidR="005C05C0" w:rsidRPr="00574147">
        <w:rPr>
          <w:sz w:val="28"/>
          <w:szCs w:val="28"/>
        </w:rPr>
        <w:tab/>
      </w:r>
      <w:r w:rsidRPr="00574147">
        <w:rPr>
          <w:sz w:val="28"/>
          <w:szCs w:val="28"/>
        </w:rPr>
        <w:t xml:space="preserve"> Keep appeals records for inspection by the Awarding Body for a minimum of 18 months </w:t>
      </w:r>
    </w:p>
    <w:p w14:paraId="36AC0D06" w14:textId="017C799F" w:rsidR="005C05C0" w:rsidRPr="00574147" w:rsidRDefault="00822FC4" w:rsidP="00822FC4">
      <w:pPr>
        <w:rPr>
          <w:sz w:val="28"/>
          <w:szCs w:val="28"/>
        </w:rPr>
      </w:pPr>
      <w:r w:rsidRPr="00574147">
        <w:rPr>
          <w:sz w:val="28"/>
          <w:szCs w:val="28"/>
        </w:rPr>
        <w:t xml:space="preserve">• </w:t>
      </w:r>
      <w:r w:rsidR="005C05C0" w:rsidRPr="00574147">
        <w:rPr>
          <w:sz w:val="28"/>
          <w:szCs w:val="28"/>
        </w:rPr>
        <w:tab/>
      </w:r>
      <w:r w:rsidRPr="00574147">
        <w:rPr>
          <w:sz w:val="28"/>
          <w:szCs w:val="28"/>
        </w:rPr>
        <w:t xml:space="preserve">Have a staged appeals procedure </w:t>
      </w:r>
    </w:p>
    <w:p w14:paraId="31A90DD3" w14:textId="77777777" w:rsidR="005C05C0" w:rsidRPr="00574147" w:rsidRDefault="00822FC4" w:rsidP="005C05C0">
      <w:pPr>
        <w:ind w:left="720" w:hanging="720"/>
        <w:rPr>
          <w:sz w:val="28"/>
          <w:szCs w:val="28"/>
        </w:rPr>
      </w:pPr>
      <w:r w:rsidRPr="00574147">
        <w:rPr>
          <w:sz w:val="28"/>
          <w:szCs w:val="28"/>
        </w:rPr>
        <w:t xml:space="preserve">• </w:t>
      </w:r>
      <w:r w:rsidR="005C05C0" w:rsidRPr="00574147">
        <w:rPr>
          <w:sz w:val="28"/>
          <w:szCs w:val="28"/>
        </w:rPr>
        <w:tab/>
      </w:r>
      <w:r w:rsidRPr="00574147">
        <w:rPr>
          <w:sz w:val="28"/>
          <w:szCs w:val="28"/>
        </w:rPr>
        <w:t xml:space="preserve">Will take appropriate action to protect the interests of other learners and the integrity of the qualification, when the outcome of an appeal questions the validity of other results </w:t>
      </w:r>
    </w:p>
    <w:p w14:paraId="222B9AEE" w14:textId="22014441" w:rsidR="00822FC4" w:rsidRPr="00574147" w:rsidRDefault="00822FC4" w:rsidP="005C05C0">
      <w:pPr>
        <w:ind w:left="720" w:hanging="720"/>
        <w:rPr>
          <w:sz w:val="28"/>
          <w:szCs w:val="28"/>
        </w:rPr>
      </w:pPr>
      <w:r w:rsidRPr="00574147">
        <w:rPr>
          <w:sz w:val="28"/>
          <w:szCs w:val="28"/>
        </w:rPr>
        <w:t xml:space="preserve">• </w:t>
      </w:r>
      <w:r w:rsidR="005C05C0" w:rsidRPr="00574147">
        <w:rPr>
          <w:sz w:val="28"/>
          <w:szCs w:val="28"/>
        </w:rPr>
        <w:tab/>
      </w:r>
      <w:r w:rsidRPr="00574147">
        <w:rPr>
          <w:sz w:val="28"/>
          <w:szCs w:val="28"/>
        </w:rPr>
        <w:t xml:space="preserve">Monitor appeals to inform quality improvement. </w:t>
      </w:r>
    </w:p>
    <w:p w14:paraId="25A423BE" w14:textId="1928ED33" w:rsidR="00574147" w:rsidRDefault="00574147" w:rsidP="00574147">
      <w:pPr>
        <w:ind w:left="720"/>
        <w:rPr>
          <w:b/>
          <w:sz w:val="28"/>
          <w:szCs w:val="28"/>
        </w:rPr>
      </w:pPr>
      <w:r w:rsidRPr="00551077">
        <w:rPr>
          <w:b/>
          <w:sz w:val="28"/>
          <w:szCs w:val="28"/>
        </w:rPr>
        <w:lastRenderedPageBreak/>
        <w:t>The following is an extract of Peregrinate Ltd. Assessment &amp; Internal</w:t>
      </w:r>
      <w:r>
        <w:rPr>
          <w:b/>
          <w:sz w:val="28"/>
          <w:szCs w:val="28"/>
        </w:rPr>
        <w:t xml:space="preserve"> </w:t>
      </w:r>
      <w:r w:rsidRPr="00551077">
        <w:rPr>
          <w:b/>
          <w:sz w:val="28"/>
          <w:szCs w:val="28"/>
        </w:rPr>
        <w:t xml:space="preserve">Verification Policy. </w:t>
      </w:r>
      <w:r>
        <w:rPr>
          <w:b/>
          <w:sz w:val="28"/>
          <w:szCs w:val="28"/>
        </w:rPr>
        <w:t xml:space="preserve">This can be found along with our other policy documents on our website under </w:t>
      </w:r>
      <w:hyperlink r:id="rId8" w:history="1">
        <w:r w:rsidRPr="00551077">
          <w:rPr>
            <w:rStyle w:val="Hyperlink"/>
            <w:b/>
            <w:sz w:val="28"/>
            <w:szCs w:val="28"/>
          </w:rPr>
          <w:t>Our Policies</w:t>
        </w:r>
      </w:hyperlink>
      <w:r>
        <w:rPr>
          <w:b/>
          <w:sz w:val="28"/>
          <w:szCs w:val="28"/>
        </w:rPr>
        <w:t xml:space="preserve">  </w:t>
      </w:r>
      <w:hyperlink r:id="rId9" w:history="1">
        <w:r w:rsidRPr="004F1CB1">
          <w:rPr>
            <w:rStyle w:val="Hyperlink"/>
            <w:b/>
            <w:sz w:val="28"/>
            <w:szCs w:val="28"/>
          </w:rPr>
          <w:t>https://peregrinate.school/</w:t>
        </w:r>
      </w:hyperlink>
    </w:p>
    <w:p w14:paraId="2AFC35E0" w14:textId="77777777" w:rsidR="00574147" w:rsidRDefault="00574147" w:rsidP="00574147">
      <w:pPr>
        <w:ind w:left="360"/>
        <w:jc w:val="center"/>
        <w:rPr>
          <w:rFonts w:ascii="Arial" w:hAnsi="Arial" w:cs="Arial"/>
          <w:b/>
          <w:sz w:val="28"/>
          <w:szCs w:val="28"/>
          <w:u w:val="single"/>
        </w:rPr>
      </w:pPr>
      <w:r>
        <w:rPr>
          <w:rFonts w:ascii="Arial" w:hAnsi="Arial" w:cs="Arial"/>
          <w:b/>
          <w:sz w:val="28"/>
          <w:szCs w:val="28"/>
          <w:u w:val="single"/>
        </w:rPr>
        <w:t>Appeals Procedure</w:t>
      </w:r>
    </w:p>
    <w:p w14:paraId="28AB9969" w14:textId="77777777" w:rsidR="00574147" w:rsidRPr="00C43F0C" w:rsidRDefault="00574147" w:rsidP="00574147">
      <w:pPr>
        <w:rPr>
          <w:rFonts w:cs="Arial"/>
          <w:sz w:val="28"/>
          <w:szCs w:val="28"/>
        </w:rPr>
      </w:pPr>
      <w:r w:rsidRPr="00C43F0C">
        <w:rPr>
          <w:rFonts w:cs="Arial"/>
          <w:sz w:val="28"/>
          <w:szCs w:val="28"/>
        </w:rPr>
        <w:t>Candidates must be informed of the appeals procedure (and the named person(s) to whom appeal must be submitted) by internal verifiers.</w:t>
      </w:r>
    </w:p>
    <w:p w14:paraId="5A290C1D" w14:textId="77777777" w:rsidR="00574147" w:rsidRPr="00C43F0C" w:rsidRDefault="00574147" w:rsidP="00574147">
      <w:pPr>
        <w:rPr>
          <w:rFonts w:cs="Arial"/>
          <w:sz w:val="28"/>
          <w:szCs w:val="28"/>
        </w:rPr>
      </w:pPr>
      <w:r w:rsidRPr="00C43F0C">
        <w:rPr>
          <w:rFonts w:cs="Arial"/>
          <w:sz w:val="28"/>
          <w:szCs w:val="28"/>
        </w:rPr>
        <w:t>Candidates have the right to appeal at the level of a unit of competence or any or several of the following grounds:</w:t>
      </w:r>
    </w:p>
    <w:p w14:paraId="73C28C80" w14:textId="77777777" w:rsidR="00574147" w:rsidRPr="00C43F0C" w:rsidRDefault="00574147" w:rsidP="00574147">
      <w:pPr>
        <w:numPr>
          <w:ilvl w:val="0"/>
          <w:numId w:val="5"/>
        </w:numPr>
        <w:spacing w:after="0" w:line="240" w:lineRule="auto"/>
        <w:rPr>
          <w:rFonts w:cs="Arial"/>
          <w:b/>
          <w:sz w:val="28"/>
          <w:szCs w:val="28"/>
        </w:rPr>
      </w:pPr>
      <w:r w:rsidRPr="00C43F0C">
        <w:rPr>
          <w:rFonts w:cs="Arial"/>
          <w:b/>
          <w:sz w:val="28"/>
          <w:szCs w:val="28"/>
        </w:rPr>
        <w:t>The assessment was conducted such that the candidate was not given the adequacy of opportunity to allow the competence to be fully demonstrated.</w:t>
      </w:r>
    </w:p>
    <w:p w14:paraId="0994EDC9" w14:textId="77777777" w:rsidR="00574147" w:rsidRPr="00C43F0C" w:rsidRDefault="00574147" w:rsidP="00574147">
      <w:pPr>
        <w:numPr>
          <w:ilvl w:val="0"/>
          <w:numId w:val="5"/>
        </w:numPr>
        <w:spacing w:after="0" w:line="240" w:lineRule="auto"/>
        <w:rPr>
          <w:rFonts w:cs="Arial"/>
          <w:b/>
          <w:sz w:val="28"/>
          <w:szCs w:val="28"/>
        </w:rPr>
      </w:pPr>
      <w:r w:rsidRPr="00C43F0C">
        <w:rPr>
          <w:rFonts w:cs="Arial"/>
          <w:b/>
          <w:sz w:val="28"/>
          <w:szCs w:val="28"/>
        </w:rPr>
        <w:t>The assessment was conducted in such a manner that the candidate was put under stress, which was excessive to that normally pertaining to the usual and expected circumstances in which that competence would be carried out in the work place.</w:t>
      </w:r>
    </w:p>
    <w:p w14:paraId="3172DF0F" w14:textId="77777777" w:rsidR="00574147" w:rsidRPr="00C43F0C" w:rsidRDefault="00574147" w:rsidP="00574147">
      <w:pPr>
        <w:numPr>
          <w:ilvl w:val="0"/>
          <w:numId w:val="5"/>
        </w:numPr>
        <w:spacing w:after="0" w:line="240" w:lineRule="auto"/>
        <w:rPr>
          <w:rFonts w:cs="Arial"/>
          <w:b/>
          <w:sz w:val="28"/>
          <w:szCs w:val="28"/>
        </w:rPr>
      </w:pPr>
      <w:r w:rsidRPr="00C43F0C">
        <w:rPr>
          <w:rFonts w:cs="Arial"/>
          <w:b/>
          <w:sz w:val="28"/>
          <w:szCs w:val="28"/>
        </w:rPr>
        <w:t>The assessment did not have the adequacy of range, nature and comprehensiveness of the evidence when set against the national standards and evidence requirements.</w:t>
      </w:r>
    </w:p>
    <w:p w14:paraId="1EE40E47" w14:textId="77777777" w:rsidR="00574147" w:rsidRPr="00C43F0C" w:rsidRDefault="00574147" w:rsidP="00574147">
      <w:pPr>
        <w:pStyle w:val="ListParagraph"/>
        <w:rPr>
          <w:rFonts w:cs="Arial"/>
          <w:b/>
          <w:sz w:val="28"/>
          <w:szCs w:val="28"/>
        </w:rPr>
      </w:pPr>
    </w:p>
    <w:p w14:paraId="2E048CBD" w14:textId="77777777" w:rsidR="00574147" w:rsidRPr="00C43F0C" w:rsidRDefault="00574147" w:rsidP="00574147">
      <w:pPr>
        <w:rPr>
          <w:rFonts w:cs="Arial"/>
          <w:sz w:val="28"/>
          <w:szCs w:val="28"/>
        </w:rPr>
      </w:pPr>
      <w:r w:rsidRPr="00C43F0C">
        <w:rPr>
          <w:rFonts w:cs="Arial"/>
          <w:sz w:val="28"/>
          <w:szCs w:val="28"/>
        </w:rPr>
        <w:t>Candidates who wish to make an appeal following assessment must comply with the</w:t>
      </w:r>
      <w:r>
        <w:rPr>
          <w:rFonts w:cs="Arial"/>
          <w:sz w:val="28"/>
          <w:szCs w:val="28"/>
        </w:rPr>
        <w:t xml:space="preserve"> </w:t>
      </w:r>
      <w:r w:rsidRPr="00C43F0C">
        <w:rPr>
          <w:rFonts w:cs="Arial"/>
          <w:sz w:val="28"/>
          <w:szCs w:val="28"/>
        </w:rPr>
        <w:t>following:</w:t>
      </w:r>
    </w:p>
    <w:p w14:paraId="7F980B6B" w14:textId="77777777" w:rsidR="00574147" w:rsidRPr="00C43F0C" w:rsidRDefault="00574147" w:rsidP="00574147">
      <w:pPr>
        <w:numPr>
          <w:ilvl w:val="0"/>
          <w:numId w:val="6"/>
        </w:numPr>
        <w:spacing w:after="0" w:line="240" w:lineRule="auto"/>
        <w:rPr>
          <w:rFonts w:cs="Arial"/>
          <w:b/>
          <w:sz w:val="28"/>
          <w:szCs w:val="28"/>
        </w:rPr>
      </w:pPr>
      <w:r w:rsidRPr="00C43F0C">
        <w:rPr>
          <w:rFonts w:cs="Arial"/>
          <w:b/>
          <w:sz w:val="28"/>
          <w:szCs w:val="28"/>
        </w:rPr>
        <w:t>An appeal must, in the first phase, be made verbally directly to the relevant assessor within five working days of the assessment. It is anticipated that this initial stage will result in a satisfactory conclusion to the appeal.</w:t>
      </w:r>
    </w:p>
    <w:p w14:paraId="06FB0322" w14:textId="77777777" w:rsidR="00574147" w:rsidRPr="00C43F0C" w:rsidRDefault="00574147" w:rsidP="00574147">
      <w:pPr>
        <w:rPr>
          <w:rFonts w:cs="Arial"/>
          <w:sz w:val="28"/>
          <w:szCs w:val="28"/>
        </w:rPr>
      </w:pPr>
    </w:p>
    <w:p w14:paraId="66B3DB2F" w14:textId="77777777" w:rsidR="00574147" w:rsidRPr="00C43F0C" w:rsidRDefault="00574147" w:rsidP="00574147">
      <w:pPr>
        <w:rPr>
          <w:rFonts w:cs="Arial"/>
          <w:sz w:val="28"/>
          <w:szCs w:val="28"/>
        </w:rPr>
      </w:pPr>
      <w:r w:rsidRPr="00C43F0C">
        <w:rPr>
          <w:rFonts w:cs="Arial"/>
          <w:sz w:val="28"/>
          <w:szCs w:val="28"/>
        </w:rPr>
        <w:t>Both candidate and assessor must maintain their own record of this initial appeal should it not be resolved at this stage.</w:t>
      </w:r>
    </w:p>
    <w:p w14:paraId="62665D44" w14:textId="77777777" w:rsidR="00574147" w:rsidRPr="00FC1719" w:rsidRDefault="00574147" w:rsidP="00574147">
      <w:pPr>
        <w:rPr>
          <w:sz w:val="24"/>
          <w:szCs w:val="24"/>
        </w:rPr>
      </w:pPr>
    </w:p>
    <w:p w14:paraId="7DE35986" w14:textId="753A550E" w:rsidR="00822FC4" w:rsidRDefault="00822FC4" w:rsidP="00822FC4">
      <w:pPr>
        <w:rPr>
          <w:sz w:val="24"/>
          <w:szCs w:val="24"/>
        </w:rPr>
      </w:pPr>
      <w:r w:rsidRPr="00FC1719">
        <w:rPr>
          <w:sz w:val="24"/>
          <w:szCs w:val="24"/>
        </w:rPr>
        <w:lastRenderedPageBreak/>
        <w:t>Learner induction, informing them about the appeals procedure Stages of learner appeals procedure (both internal and external stages) Recording each stage of the appeals procedure Monitoring appeals Roles / responsibilities of staff within the process</w:t>
      </w:r>
    </w:p>
    <w:p w14:paraId="59DDFA23" w14:textId="4A3C3134" w:rsidR="00574147" w:rsidRDefault="00574147" w:rsidP="00822FC4">
      <w:pPr>
        <w:rPr>
          <w:b/>
          <w:sz w:val="28"/>
          <w:szCs w:val="28"/>
        </w:rPr>
      </w:pPr>
      <w:r w:rsidRPr="00574147">
        <w:rPr>
          <w:b/>
          <w:sz w:val="28"/>
          <w:szCs w:val="28"/>
        </w:rPr>
        <w:t>The following are useful documents which should be read in conjunction with this appeals Policy</w:t>
      </w:r>
    </w:p>
    <w:p w14:paraId="6F54936E" w14:textId="016E1B75" w:rsidR="00574147" w:rsidRDefault="001939EA" w:rsidP="00574147">
      <w:pPr>
        <w:autoSpaceDE w:val="0"/>
        <w:autoSpaceDN w:val="0"/>
        <w:adjustRightInd w:val="0"/>
        <w:spacing w:after="0" w:line="240" w:lineRule="auto"/>
        <w:rPr>
          <w:rStyle w:val="Hyperlink"/>
          <w:rFonts w:cs="Arial"/>
          <w:sz w:val="28"/>
          <w:szCs w:val="28"/>
        </w:rPr>
      </w:pPr>
      <w:hyperlink r:id="rId10" w:history="1">
        <w:r w:rsidR="00574147" w:rsidRPr="00785396">
          <w:rPr>
            <w:rStyle w:val="Hyperlink"/>
            <w:rFonts w:cs="Arial"/>
            <w:sz w:val="28"/>
            <w:szCs w:val="28"/>
          </w:rPr>
          <w:t>Peregrinate Assessment &amp; Internal Verification Policy</w:t>
        </w:r>
      </w:hyperlink>
    </w:p>
    <w:p w14:paraId="782008BB" w14:textId="77777777" w:rsidR="00574147" w:rsidRPr="00785396" w:rsidRDefault="00574147" w:rsidP="00574147">
      <w:pPr>
        <w:autoSpaceDE w:val="0"/>
        <w:autoSpaceDN w:val="0"/>
        <w:adjustRightInd w:val="0"/>
        <w:spacing w:after="0" w:line="240" w:lineRule="auto"/>
        <w:rPr>
          <w:rFonts w:cs="Arial"/>
          <w:sz w:val="28"/>
          <w:szCs w:val="28"/>
        </w:rPr>
      </w:pPr>
    </w:p>
    <w:p w14:paraId="2AACCD27" w14:textId="1E82C9DD" w:rsidR="005C05C0" w:rsidRPr="00FC1719" w:rsidRDefault="001939EA" w:rsidP="00822FC4">
      <w:pPr>
        <w:rPr>
          <w:sz w:val="24"/>
          <w:szCs w:val="24"/>
        </w:rPr>
      </w:pPr>
      <w:hyperlink r:id="rId11" w:history="1">
        <w:r w:rsidR="005C05C0" w:rsidRPr="00574147">
          <w:rPr>
            <w:rStyle w:val="Hyperlink"/>
            <w:sz w:val="28"/>
            <w:szCs w:val="28"/>
          </w:rPr>
          <w:t>BTEC Qualification Specifications</w:t>
        </w:r>
      </w:hyperlink>
      <w:r w:rsidR="005C05C0" w:rsidRPr="00574147">
        <w:rPr>
          <w:sz w:val="28"/>
          <w:szCs w:val="28"/>
        </w:rPr>
        <w:t xml:space="preserve"> These provide guidance for each BTEC qualification</w:t>
      </w:r>
    </w:p>
    <w:p w14:paraId="2642A7C7" w14:textId="5DE69C68" w:rsidR="00C23E87" w:rsidRPr="00574147" w:rsidRDefault="001939EA" w:rsidP="005C05C0">
      <w:pPr>
        <w:rPr>
          <w:rFonts w:ascii="Arial" w:hAnsi="Arial" w:cs="Arial"/>
          <w:b/>
          <w:bCs/>
          <w:sz w:val="28"/>
          <w:szCs w:val="28"/>
        </w:rPr>
      </w:pPr>
      <w:hyperlink r:id="rId12" w:history="1">
        <w:r w:rsidR="005C05C0" w:rsidRPr="00574147">
          <w:rPr>
            <w:rStyle w:val="Hyperlink"/>
            <w:sz w:val="28"/>
            <w:szCs w:val="28"/>
          </w:rPr>
          <w:t>Enquiries and appeals about Pearson vocational qualifications and End Point Assessment Policy</w:t>
        </w:r>
      </w:hyperlink>
      <w:r w:rsidR="005C05C0" w:rsidRPr="00574147">
        <w:rPr>
          <w:sz w:val="28"/>
          <w:szCs w:val="28"/>
        </w:rPr>
        <w:t>: This is Pearson’s policy on learner appeals. Please note, this does not apply until internal centre processes have been exhausted.</w:t>
      </w:r>
    </w:p>
    <w:sectPr w:rsidR="00C23E87" w:rsidRPr="00574147" w:rsidSect="00D5437E">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8BAB" w14:textId="77777777" w:rsidR="001939EA" w:rsidRDefault="001939EA" w:rsidP="00D5437E">
      <w:pPr>
        <w:spacing w:after="0" w:line="240" w:lineRule="auto"/>
      </w:pPr>
      <w:r>
        <w:separator/>
      </w:r>
    </w:p>
  </w:endnote>
  <w:endnote w:type="continuationSeparator" w:id="0">
    <w:p w14:paraId="5BECCB10" w14:textId="77777777" w:rsidR="001939EA" w:rsidRDefault="001939EA" w:rsidP="00D5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64006"/>
      <w:docPartObj>
        <w:docPartGallery w:val="Page Numbers (Bottom of Page)"/>
        <w:docPartUnique/>
      </w:docPartObj>
    </w:sdtPr>
    <w:sdtEndPr>
      <w:rPr>
        <w:noProof/>
      </w:rPr>
    </w:sdtEndPr>
    <w:sdtContent>
      <w:p w14:paraId="2373BDCC" w14:textId="77777777" w:rsidR="00D5437E" w:rsidRDefault="00D5437E">
        <w:pPr>
          <w:pStyle w:val="Footer"/>
          <w:jc w:val="right"/>
        </w:pPr>
        <w:r>
          <w:fldChar w:fldCharType="begin"/>
        </w:r>
        <w:r>
          <w:instrText xml:space="preserve"> PAGE   \* MERGEFORMAT </w:instrText>
        </w:r>
        <w:r>
          <w:fldChar w:fldCharType="separate"/>
        </w:r>
        <w:r w:rsidR="00AD573D">
          <w:rPr>
            <w:noProof/>
          </w:rPr>
          <w:t>2</w:t>
        </w:r>
        <w:r>
          <w:rPr>
            <w:noProof/>
          </w:rPr>
          <w:fldChar w:fldCharType="end"/>
        </w:r>
      </w:p>
    </w:sdtContent>
  </w:sdt>
  <w:p w14:paraId="2A450EA8" w14:textId="5ED54554" w:rsidR="00D5437E" w:rsidRDefault="00D5437E" w:rsidP="00D5437E">
    <w:pPr>
      <w:pStyle w:val="Footer"/>
      <w:jc w:val="center"/>
    </w:pPr>
    <w:r>
      <w:rPr>
        <w:noProof/>
        <w:lang w:eastAsia="en-GB"/>
      </w:rPr>
      <w:drawing>
        <wp:inline distT="0" distB="0" distL="0" distR="0" wp14:anchorId="666D24CC" wp14:editId="0429923C">
          <wp:extent cx="557578" cy="7874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36D19A15" wp14:editId="2210E70E">
          <wp:extent cx="1258669" cy="840740"/>
          <wp:effectExtent l="0" t="0" r="0" b="0"/>
          <wp:docPr id="5" name="Picture 5"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8317" w14:textId="796CD5F4" w:rsidR="00D5437E" w:rsidRDefault="00D5437E" w:rsidP="00D5437E">
    <w:pPr>
      <w:pStyle w:val="Footer"/>
      <w:jc w:val="center"/>
    </w:pPr>
    <w:r>
      <w:rPr>
        <w:noProof/>
        <w:lang w:eastAsia="en-GB"/>
      </w:rPr>
      <w:drawing>
        <wp:inline distT="0" distB="0" distL="0" distR="0" wp14:anchorId="54F804D2" wp14:editId="49DDCF1F">
          <wp:extent cx="557578" cy="787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r w:rsidR="00E3426C" w:rsidRPr="00E3426C">
      <w:rPr>
        <w:rFonts w:ascii="Arial" w:hAnsi="Arial" w:cs="Arial"/>
        <w:noProof/>
        <w:sz w:val="24"/>
        <w:szCs w:val="24"/>
      </w:rPr>
      <w:drawing>
        <wp:inline distT="0" distB="0" distL="0" distR="0" wp14:anchorId="5F58E10F" wp14:editId="6FBEDA2F">
          <wp:extent cx="1258669" cy="840740"/>
          <wp:effectExtent l="0" t="0" r="0" b="0"/>
          <wp:docPr id="4" name="Picture 4" descr="C:\Users\Chris\Desktop\Pearson Edexcel Appro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Pearson Edexcel Approv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21" cy="85887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8E06E" w14:textId="77777777" w:rsidR="001939EA" w:rsidRDefault="001939EA" w:rsidP="00D5437E">
      <w:pPr>
        <w:spacing w:after="0" w:line="240" w:lineRule="auto"/>
      </w:pPr>
      <w:r>
        <w:separator/>
      </w:r>
    </w:p>
  </w:footnote>
  <w:footnote w:type="continuationSeparator" w:id="0">
    <w:p w14:paraId="30FD8F99" w14:textId="77777777" w:rsidR="001939EA" w:rsidRDefault="001939EA" w:rsidP="00D5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A7DA" w14:textId="77777777" w:rsidR="00D5437E" w:rsidRDefault="00AD573D" w:rsidP="00D5437E">
    <w:pPr>
      <w:pStyle w:val="Header"/>
      <w:jc w:val="center"/>
    </w:pPr>
    <w:r w:rsidRPr="00AD573D">
      <w:rPr>
        <w:noProof/>
      </w:rPr>
      <w:drawing>
        <wp:inline distT="0" distB="0" distL="0" distR="0" wp14:anchorId="49DBBF65" wp14:editId="0E4A56FE">
          <wp:extent cx="5256584" cy="2144132"/>
          <wp:effectExtent l="0" t="0" r="1270" b="889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6584" cy="214413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004"/>
    <w:multiLevelType w:val="hybridMultilevel"/>
    <w:tmpl w:val="E7680B94"/>
    <w:lvl w:ilvl="0" w:tplc="E0BC276C">
      <w:start w:val="1"/>
      <w:numFmt w:val="upperLetter"/>
      <w:lvlText w:val="%1)"/>
      <w:lvlJc w:val="left"/>
      <w:pPr>
        <w:ind w:left="732" w:hanging="37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11D91"/>
    <w:multiLevelType w:val="hybridMultilevel"/>
    <w:tmpl w:val="1A3CD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F01F4"/>
    <w:multiLevelType w:val="hybridMultilevel"/>
    <w:tmpl w:val="2ED2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35BA0"/>
    <w:multiLevelType w:val="hybridMultilevel"/>
    <w:tmpl w:val="4C329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C94842"/>
    <w:multiLevelType w:val="hybridMultilevel"/>
    <w:tmpl w:val="9FCA7B64"/>
    <w:lvl w:ilvl="0" w:tplc="87AC3828">
      <w:numFmt w:val="bullet"/>
      <w:lvlText w:val="•"/>
      <w:lvlJc w:val="left"/>
      <w:pPr>
        <w:ind w:left="720" w:hanging="360"/>
      </w:pPr>
      <w:rPr>
        <w:rFonts w:ascii="Century Gothic" w:eastAsia="SymbolMT" w:hAnsi="Century Gothic"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31493"/>
    <w:multiLevelType w:val="hybridMultilevel"/>
    <w:tmpl w:val="A4F62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56C"/>
    <w:rsid w:val="000F12F8"/>
    <w:rsid w:val="00164165"/>
    <w:rsid w:val="001939EA"/>
    <w:rsid w:val="001A68AC"/>
    <w:rsid w:val="00214989"/>
    <w:rsid w:val="00222739"/>
    <w:rsid w:val="002261CA"/>
    <w:rsid w:val="0026347D"/>
    <w:rsid w:val="0030173F"/>
    <w:rsid w:val="00336597"/>
    <w:rsid w:val="00461989"/>
    <w:rsid w:val="00572D87"/>
    <w:rsid w:val="00574147"/>
    <w:rsid w:val="005C05C0"/>
    <w:rsid w:val="005D4EAE"/>
    <w:rsid w:val="005E2DF0"/>
    <w:rsid w:val="0062256C"/>
    <w:rsid w:val="00680FA9"/>
    <w:rsid w:val="006B443F"/>
    <w:rsid w:val="006C660F"/>
    <w:rsid w:val="00724F4F"/>
    <w:rsid w:val="00822FC4"/>
    <w:rsid w:val="00971866"/>
    <w:rsid w:val="00971894"/>
    <w:rsid w:val="00995E78"/>
    <w:rsid w:val="009A5C36"/>
    <w:rsid w:val="00A42149"/>
    <w:rsid w:val="00AD573D"/>
    <w:rsid w:val="00AE3D35"/>
    <w:rsid w:val="00B9789D"/>
    <w:rsid w:val="00C23E87"/>
    <w:rsid w:val="00C65F79"/>
    <w:rsid w:val="00D155F5"/>
    <w:rsid w:val="00D5437E"/>
    <w:rsid w:val="00DD24A3"/>
    <w:rsid w:val="00E3426C"/>
    <w:rsid w:val="00E52A2C"/>
    <w:rsid w:val="00FC1719"/>
    <w:rsid w:val="00FD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DC1CAA"/>
  <w15:docId w15:val="{BBD68525-A4A9-48F8-8879-3A9F3BD9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3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3E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56C"/>
    <w:pPr>
      <w:ind w:left="720"/>
      <w:contextualSpacing/>
    </w:pPr>
  </w:style>
  <w:style w:type="table" w:styleId="TableGrid">
    <w:name w:val="Table Grid"/>
    <w:basedOn w:val="TableNormal"/>
    <w:uiPriority w:val="59"/>
    <w:rsid w:val="00622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4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7E"/>
  </w:style>
  <w:style w:type="paragraph" w:styleId="Footer">
    <w:name w:val="footer"/>
    <w:basedOn w:val="Normal"/>
    <w:link w:val="FooterChar"/>
    <w:uiPriority w:val="99"/>
    <w:unhideWhenUsed/>
    <w:rsid w:val="00D54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7E"/>
  </w:style>
  <w:style w:type="paragraph" w:styleId="BalloonText">
    <w:name w:val="Balloon Text"/>
    <w:basedOn w:val="Normal"/>
    <w:link w:val="BalloonTextChar"/>
    <w:uiPriority w:val="99"/>
    <w:semiHidden/>
    <w:unhideWhenUsed/>
    <w:rsid w:val="00D54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37E"/>
    <w:rPr>
      <w:rFonts w:ascii="Tahoma" w:hAnsi="Tahoma" w:cs="Tahoma"/>
      <w:sz w:val="16"/>
      <w:szCs w:val="16"/>
    </w:rPr>
  </w:style>
  <w:style w:type="paragraph" w:styleId="NoSpacing">
    <w:name w:val="No Spacing"/>
    <w:link w:val="NoSpacingChar"/>
    <w:uiPriority w:val="1"/>
    <w:qFormat/>
    <w:rsid w:val="00D5437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5437E"/>
    <w:rPr>
      <w:rFonts w:eastAsiaTheme="minorEastAsia"/>
      <w:lang w:val="en-US" w:eastAsia="ja-JP"/>
    </w:rPr>
  </w:style>
  <w:style w:type="character" w:customStyle="1" w:styleId="Heading1Char">
    <w:name w:val="Heading 1 Char"/>
    <w:basedOn w:val="DefaultParagraphFont"/>
    <w:link w:val="Heading1"/>
    <w:uiPriority w:val="9"/>
    <w:rsid w:val="00C23E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3E8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C05C0"/>
    <w:rPr>
      <w:color w:val="0000FF" w:themeColor="hyperlink"/>
      <w:u w:val="single"/>
    </w:rPr>
  </w:style>
  <w:style w:type="character" w:styleId="UnresolvedMention">
    <w:name w:val="Unresolved Mention"/>
    <w:basedOn w:val="DefaultParagraphFont"/>
    <w:uiPriority w:val="99"/>
    <w:semiHidden/>
    <w:unhideWhenUsed/>
    <w:rsid w:val="005C05C0"/>
    <w:rPr>
      <w:color w:val="605E5C"/>
      <w:shd w:val="clear" w:color="auto" w:fill="E1DFDD"/>
    </w:rPr>
  </w:style>
  <w:style w:type="character" w:styleId="FollowedHyperlink">
    <w:name w:val="FollowedHyperlink"/>
    <w:basedOn w:val="DefaultParagraphFont"/>
    <w:uiPriority w:val="99"/>
    <w:semiHidden/>
    <w:unhideWhenUsed/>
    <w:rsid w:val="005741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egrinate.school/about-our-company/297-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qualifications.pearson.com/en/support/support-topics/understanding-our-qualifications/policies-for-centres-learners-and-employees.html/stud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alifications.pearson.com/en/subject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eregrinate.school/about-our-company/297-2/" TargetMode="External"/><Relationship Id="rId4" Type="http://schemas.openxmlformats.org/officeDocument/2006/relationships/webSettings" Target="webSettings.xml"/><Relationship Id="rId9" Type="http://schemas.openxmlformats.org/officeDocument/2006/relationships/hyperlink" Target="https://peregrinate.schoo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7</cp:revision>
  <dcterms:created xsi:type="dcterms:W3CDTF">2019-01-10T19:12:00Z</dcterms:created>
  <dcterms:modified xsi:type="dcterms:W3CDTF">2021-11-17T18:52:00Z</dcterms:modified>
</cp:coreProperties>
</file>